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2B27" w14:textId="51186CA8" w:rsidR="00C03E94" w:rsidRPr="00E808A1" w:rsidRDefault="006C7AB2" w:rsidP="00E808A1">
      <w:pPr>
        <w:spacing w:after="0" w:line="240" w:lineRule="auto"/>
        <w:jc w:val="center"/>
        <w:rPr>
          <w:rFonts w:cs="Arial"/>
          <w:b/>
          <w:u w:val="single"/>
        </w:rPr>
      </w:pPr>
      <w:hyperlink r:id="rId6" w:history="1">
        <w:r w:rsidR="00C03E94" w:rsidRPr="00E808A1">
          <w:rPr>
            <w:rStyle w:val="Hyperlink"/>
            <w:rFonts w:cs="Arial"/>
            <w:b/>
          </w:rPr>
          <w:t>Mayo Clinic Brain Tumor Patient-Derived Xenograft (PDX) National Resource</w:t>
        </w:r>
      </w:hyperlink>
    </w:p>
    <w:p w14:paraId="1A8153A2" w14:textId="3F7839FD" w:rsidR="00C03E94" w:rsidRPr="00E808A1" w:rsidRDefault="004C006C" w:rsidP="00E808A1">
      <w:pPr>
        <w:tabs>
          <w:tab w:val="center" w:pos="5400"/>
          <w:tab w:val="left" w:pos="8800"/>
        </w:tabs>
        <w:spacing w:after="0" w:line="240" w:lineRule="auto"/>
        <w:jc w:val="center"/>
        <w:rPr>
          <w:rFonts w:cs="Arial"/>
          <w:b/>
        </w:rPr>
      </w:pPr>
      <w:r w:rsidRPr="00E808A1">
        <w:rPr>
          <w:rFonts w:cs="Arial"/>
          <w:b/>
        </w:rPr>
        <w:t xml:space="preserve">In Vitro </w:t>
      </w:r>
      <w:r w:rsidR="005358CE" w:rsidRPr="00E808A1">
        <w:rPr>
          <w:rFonts w:cs="Arial"/>
          <w:b/>
        </w:rPr>
        <w:t xml:space="preserve">Culturing and </w:t>
      </w:r>
      <w:r w:rsidRPr="00E808A1">
        <w:rPr>
          <w:rFonts w:cs="Arial"/>
          <w:b/>
        </w:rPr>
        <w:t>Experimentation</w:t>
      </w:r>
      <w:r w:rsidR="00C93B23" w:rsidRPr="00E808A1">
        <w:rPr>
          <w:rFonts w:cs="Arial"/>
          <w:b/>
        </w:rPr>
        <w:t xml:space="preserve"> </w:t>
      </w:r>
      <w:r w:rsidR="005435AA" w:rsidRPr="00E808A1">
        <w:rPr>
          <w:rFonts w:cs="Arial"/>
          <w:b/>
        </w:rPr>
        <w:t>Using Short-</w:t>
      </w:r>
      <w:r w:rsidRPr="00E808A1">
        <w:rPr>
          <w:rFonts w:cs="Arial"/>
          <w:b/>
        </w:rPr>
        <w:t>Term PDX Explant Cultures</w:t>
      </w:r>
    </w:p>
    <w:p w14:paraId="6E7226DF" w14:textId="35D8B6DA" w:rsidR="000055BF" w:rsidRPr="00E808A1" w:rsidRDefault="00812C60" w:rsidP="00E808A1">
      <w:pPr>
        <w:tabs>
          <w:tab w:val="center" w:pos="5400"/>
          <w:tab w:val="left" w:pos="8800"/>
        </w:tabs>
        <w:spacing w:after="0" w:line="240" w:lineRule="auto"/>
        <w:jc w:val="center"/>
        <w:rPr>
          <w:rFonts w:cs="Arial"/>
          <w:b/>
          <w:sz w:val="16"/>
          <w:szCs w:val="16"/>
        </w:rPr>
      </w:pPr>
      <w:r w:rsidRPr="00E808A1">
        <w:rPr>
          <w:rFonts w:cs="Arial"/>
          <w:b/>
          <w:sz w:val="16"/>
          <w:szCs w:val="16"/>
        </w:rPr>
        <w:t>U</w:t>
      </w:r>
      <w:r w:rsidR="000055BF" w:rsidRPr="00E808A1">
        <w:rPr>
          <w:rFonts w:cs="Arial"/>
          <w:b/>
          <w:sz w:val="16"/>
          <w:szCs w:val="16"/>
        </w:rPr>
        <w:t xml:space="preserve">pdated </w:t>
      </w:r>
      <w:r w:rsidR="004B0ACA" w:rsidRPr="00E808A1">
        <w:rPr>
          <w:rFonts w:cs="Arial"/>
          <w:b/>
          <w:sz w:val="16"/>
          <w:szCs w:val="16"/>
        </w:rPr>
        <w:t>Jan. 2, 20</w:t>
      </w:r>
      <w:r w:rsidR="00157F74" w:rsidRPr="00E808A1">
        <w:rPr>
          <w:rFonts w:cs="Arial"/>
          <w:b/>
          <w:sz w:val="16"/>
          <w:szCs w:val="16"/>
        </w:rPr>
        <w:t>23</w:t>
      </w:r>
    </w:p>
    <w:p w14:paraId="2C4A1B9E" w14:textId="77777777" w:rsidR="00C03E94" w:rsidRPr="00E808A1" w:rsidRDefault="00C03E94" w:rsidP="00E808A1">
      <w:pPr>
        <w:spacing w:after="0" w:line="240" w:lineRule="auto"/>
        <w:jc w:val="center"/>
        <w:rPr>
          <w:rFonts w:cs="Arial"/>
          <w:b/>
          <w:sz w:val="20"/>
          <w:szCs w:val="20"/>
        </w:rPr>
      </w:pPr>
    </w:p>
    <w:p w14:paraId="321257BD" w14:textId="77777777" w:rsidR="00C03E94" w:rsidRPr="00E808A1" w:rsidRDefault="00C03E94" w:rsidP="00E808A1">
      <w:pPr>
        <w:spacing w:after="0" w:line="240" w:lineRule="auto"/>
        <w:rPr>
          <w:rFonts w:cs="Arial"/>
          <w:sz w:val="20"/>
          <w:szCs w:val="20"/>
          <w:u w:val="single"/>
        </w:rPr>
      </w:pPr>
    </w:p>
    <w:p w14:paraId="04BCB140" w14:textId="58F0D74A" w:rsidR="009B775A" w:rsidRPr="00E808A1" w:rsidRDefault="00C03E94" w:rsidP="00E808A1">
      <w:pPr>
        <w:spacing w:after="0" w:line="240" w:lineRule="auto"/>
        <w:rPr>
          <w:rFonts w:cs="Arial"/>
          <w:bCs/>
          <w:u w:val="single"/>
        </w:rPr>
      </w:pPr>
      <w:r w:rsidRPr="00E808A1">
        <w:rPr>
          <w:rFonts w:cs="Arial"/>
          <w:b/>
          <w:u w:val="single"/>
        </w:rPr>
        <w:t>A few important notes:</w:t>
      </w:r>
    </w:p>
    <w:p w14:paraId="55E89195" w14:textId="2A801564" w:rsidR="009B775A" w:rsidRPr="00E808A1" w:rsidRDefault="009B775A" w:rsidP="00E808A1">
      <w:pPr>
        <w:pStyle w:val="ListParagraph"/>
        <w:numPr>
          <w:ilvl w:val="0"/>
          <w:numId w:val="13"/>
        </w:numPr>
        <w:spacing w:after="0" w:line="240" w:lineRule="auto"/>
        <w:rPr>
          <w:rFonts w:cs="Arial"/>
          <w:sz w:val="20"/>
          <w:szCs w:val="20"/>
        </w:rPr>
      </w:pPr>
      <w:r w:rsidRPr="00E808A1">
        <w:rPr>
          <w:rFonts w:cs="Arial"/>
          <w:sz w:val="20"/>
          <w:szCs w:val="20"/>
        </w:rPr>
        <w:t>These lines will not behave like established cell lines. Because of the cellular heterogeneity of these PDX lines, each line will have its own unique growth characteristics, and these characteristics may vary from batch to batch.</w:t>
      </w:r>
    </w:p>
    <w:p w14:paraId="5625D6D9" w14:textId="0EC15933" w:rsidR="009B775A" w:rsidRPr="00E808A1" w:rsidRDefault="009B775A" w:rsidP="00E808A1">
      <w:pPr>
        <w:pStyle w:val="ListParagraph"/>
        <w:numPr>
          <w:ilvl w:val="0"/>
          <w:numId w:val="13"/>
        </w:numPr>
        <w:spacing w:after="0" w:line="240" w:lineRule="auto"/>
        <w:rPr>
          <w:rFonts w:cs="Arial"/>
          <w:sz w:val="20"/>
          <w:szCs w:val="20"/>
        </w:rPr>
      </w:pPr>
      <w:r w:rsidRPr="00E808A1">
        <w:rPr>
          <w:rFonts w:cs="Arial"/>
          <w:sz w:val="20"/>
          <w:szCs w:val="20"/>
        </w:rPr>
        <w:t>Short-term explant cultures can be readily derived from most established xenograft lines, and these cultures can be used for in vitro studies or establishing tumors in immunocompromised mice.</w:t>
      </w:r>
    </w:p>
    <w:p w14:paraId="04B014E2" w14:textId="77777777" w:rsidR="009B775A" w:rsidRPr="00E808A1" w:rsidRDefault="0035615B" w:rsidP="00E808A1">
      <w:pPr>
        <w:pStyle w:val="ListParagraph"/>
        <w:numPr>
          <w:ilvl w:val="0"/>
          <w:numId w:val="13"/>
        </w:numPr>
        <w:spacing w:after="0" w:line="240" w:lineRule="auto"/>
        <w:rPr>
          <w:rFonts w:cs="Arial"/>
          <w:sz w:val="20"/>
          <w:szCs w:val="20"/>
        </w:rPr>
      </w:pPr>
      <w:r w:rsidRPr="00E808A1">
        <w:rPr>
          <w:rFonts w:cs="Arial"/>
          <w:sz w:val="20"/>
          <w:szCs w:val="20"/>
        </w:rPr>
        <w:t>For instructions on caring for our PDX short-term explant cultures, please refer to our culture instructions.</w:t>
      </w:r>
    </w:p>
    <w:p w14:paraId="721DD19A" w14:textId="060EA31A" w:rsidR="005435AA" w:rsidRPr="00E808A1" w:rsidRDefault="005435AA" w:rsidP="00E808A1">
      <w:pPr>
        <w:pStyle w:val="ListParagraph"/>
        <w:numPr>
          <w:ilvl w:val="1"/>
          <w:numId w:val="13"/>
        </w:numPr>
        <w:spacing w:after="0" w:line="240" w:lineRule="auto"/>
        <w:rPr>
          <w:rFonts w:cs="Arial"/>
          <w:sz w:val="20"/>
          <w:szCs w:val="20"/>
        </w:rPr>
      </w:pPr>
      <w:r w:rsidRPr="00E808A1">
        <w:rPr>
          <w:rFonts w:cs="Arial"/>
          <w:sz w:val="20"/>
          <w:szCs w:val="20"/>
        </w:rPr>
        <w:t>The health of your cultures is extremely important for downstream applications. Routinely monitor and change media as needed.</w:t>
      </w:r>
    </w:p>
    <w:p w14:paraId="7A93C7AD" w14:textId="14F4732A" w:rsidR="000F6725" w:rsidRPr="00E808A1" w:rsidRDefault="000F6725" w:rsidP="00E808A1">
      <w:pPr>
        <w:pStyle w:val="ListParagraph"/>
        <w:numPr>
          <w:ilvl w:val="1"/>
          <w:numId w:val="13"/>
        </w:numPr>
        <w:spacing w:after="0" w:line="240" w:lineRule="auto"/>
        <w:rPr>
          <w:rFonts w:cs="Arial"/>
          <w:sz w:val="20"/>
          <w:szCs w:val="20"/>
        </w:rPr>
      </w:pPr>
      <w:r w:rsidRPr="00E808A1">
        <w:rPr>
          <w:rFonts w:cs="Arial"/>
          <w:sz w:val="20"/>
          <w:szCs w:val="20"/>
        </w:rPr>
        <w:t xml:space="preserve">The ability to expand these lines is minimal and varies from line-to-line. See the </w:t>
      </w:r>
      <w:hyperlink r:id="rId7" w:history="1">
        <w:r w:rsidRPr="00E808A1">
          <w:rPr>
            <w:rStyle w:val="Hyperlink"/>
            <w:rFonts w:cs="Arial"/>
            <w:color w:val="0070C0"/>
            <w:sz w:val="20"/>
            <w:szCs w:val="20"/>
          </w:rPr>
          <w:t>GBM PDX characteristics database</w:t>
        </w:r>
      </w:hyperlink>
      <w:r w:rsidRPr="00E808A1">
        <w:rPr>
          <w:rFonts w:cs="Arial"/>
          <w:sz w:val="20"/>
          <w:szCs w:val="20"/>
        </w:rPr>
        <w:t xml:space="preserve"> for more information regarding cell culture attributes.  Ideally, cells should be used within the first few passages.</w:t>
      </w:r>
    </w:p>
    <w:p w14:paraId="2B5CEB00" w14:textId="044821DA" w:rsidR="006827C0" w:rsidRPr="00E808A1" w:rsidRDefault="006827C0" w:rsidP="00E808A1">
      <w:pPr>
        <w:pStyle w:val="ListParagraph"/>
        <w:numPr>
          <w:ilvl w:val="0"/>
          <w:numId w:val="13"/>
        </w:numPr>
        <w:spacing w:after="0" w:line="240" w:lineRule="auto"/>
        <w:rPr>
          <w:rFonts w:cs="Arial"/>
          <w:sz w:val="20"/>
          <w:szCs w:val="20"/>
        </w:rPr>
      </w:pPr>
      <w:r w:rsidRPr="00E808A1">
        <w:rPr>
          <w:rFonts w:cs="Arial"/>
          <w:sz w:val="20"/>
          <w:szCs w:val="20"/>
        </w:rPr>
        <w:t>Each PDX line provided will have a unique lineage</w:t>
      </w:r>
      <w:r w:rsidR="004B0ACA" w:rsidRPr="00E808A1">
        <w:rPr>
          <w:rFonts w:cs="Arial"/>
          <w:sz w:val="20"/>
          <w:szCs w:val="20"/>
        </w:rPr>
        <w:t>,</w:t>
      </w:r>
      <w:r w:rsidRPr="00E808A1">
        <w:rPr>
          <w:rFonts w:cs="Arial"/>
          <w:sz w:val="20"/>
          <w:szCs w:val="20"/>
        </w:rPr>
        <w:t xml:space="preserve"> which is </w:t>
      </w:r>
      <w:r w:rsidRPr="00E808A1">
        <w:rPr>
          <w:rFonts w:cs="Arial"/>
          <w:sz w:val="20"/>
          <w:szCs w:val="20"/>
          <w:highlight w:val="green"/>
        </w:rPr>
        <w:t>highlighted</w:t>
      </w:r>
      <w:r w:rsidRPr="00E808A1">
        <w:rPr>
          <w:rFonts w:cs="Arial"/>
          <w:sz w:val="20"/>
          <w:szCs w:val="20"/>
        </w:rPr>
        <w:t xml:space="preserve"> and explained below. You should commit the lineage(s) you receive from us to your records somewhere should there be a need to refer back to this in the future.</w:t>
      </w:r>
    </w:p>
    <w:p w14:paraId="26B022F6" w14:textId="703BE22F" w:rsidR="006827C0" w:rsidRPr="00E808A1" w:rsidRDefault="006827C0" w:rsidP="00E808A1">
      <w:pPr>
        <w:pStyle w:val="ListParagraph"/>
        <w:numPr>
          <w:ilvl w:val="1"/>
          <w:numId w:val="13"/>
        </w:numPr>
        <w:spacing w:after="0" w:line="240" w:lineRule="auto"/>
        <w:rPr>
          <w:rFonts w:cs="Arial"/>
          <w:sz w:val="20"/>
          <w:szCs w:val="20"/>
        </w:rPr>
      </w:pPr>
      <w:r w:rsidRPr="00E808A1">
        <w:rPr>
          <w:rFonts w:cs="Arial"/>
          <w:sz w:val="20"/>
          <w:szCs w:val="20"/>
        </w:rPr>
        <w:t xml:space="preserve">Example: 12, </w:t>
      </w:r>
      <w:r w:rsidRPr="00E808A1">
        <w:rPr>
          <w:rFonts w:cs="Arial"/>
          <w:sz w:val="20"/>
          <w:szCs w:val="20"/>
          <w:highlight w:val="green"/>
        </w:rPr>
        <w:t>16, 14, 10</w:t>
      </w:r>
    </w:p>
    <w:p w14:paraId="4E3A078A" w14:textId="25207E1A" w:rsidR="006827C0" w:rsidRPr="00E808A1" w:rsidRDefault="006827C0" w:rsidP="00E808A1">
      <w:pPr>
        <w:pStyle w:val="ListParagraph"/>
        <w:numPr>
          <w:ilvl w:val="2"/>
          <w:numId w:val="13"/>
        </w:numPr>
        <w:spacing w:after="0" w:line="240" w:lineRule="auto"/>
        <w:rPr>
          <w:rFonts w:cs="Arial"/>
          <w:sz w:val="20"/>
          <w:szCs w:val="20"/>
        </w:rPr>
      </w:pPr>
      <w:r w:rsidRPr="00E808A1">
        <w:rPr>
          <w:rFonts w:cs="Arial"/>
          <w:sz w:val="20"/>
          <w:szCs w:val="20"/>
        </w:rPr>
        <w:t>12: The GBM PDX line. Came from the 12th patient tumor xenografted.</w:t>
      </w:r>
    </w:p>
    <w:p w14:paraId="2340209C" w14:textId="5AA6EB94" w:rsidR="006827C0" w:rsidRPr="00E808A1" w:rsidRDefault="006827C0" w:rsidP="00E808A1">
      <w:pPr>
        <w:pStyle w:val="ListParagraph"/>
        <w:numPr>
          <w:ilvl w:val="2"/>
          <w:numId w:val="13"/>
        </w:numPr>
        <w:spacing w:after="0" w:line="240" w:lineRule="auto"/>
        <w:rPr>
          <w:rFonts w:cs="Arial"/>
          <w:sz w:val="20"/>
          <w:szCs w:val="20"/>
        </w:rPr>
      </w:pPr>
      <w:r w:rsidRPr="00E808A1">
        <w:rPr>
          <w:rFonts w:cs="Arial"/>
          <w:sz w:val="20"/>
          <w:szCs w:val="20"/>
        </w:rPr>
        <w:t>16: Mouse number with the GBM flank tumor</w:t>
      </w:r>
    </w:p>
    <w:p w14:paraId="6E2FD497" w14:textId="4C56484D" w:rsidR="006827C0" w:rsidRPr="00E808A1" w:rsidRDefault="006827C0" w:rsidP="00E808A1">
      <w:pPr>
        <w:pStyle w:val="ListParagraph"/>
        <w:numPr>
          <w:ilvl w:val="2"/>
          <w:numId w:val="13"/>
        </w:numPr>
        <w:spacing w:after="0" w:line="240" w:lineRule="auto"/>
        <w:rPr>
          <w:rFonts w:cs="Arial"/>
          <w:sz w:val="20"/>
          <w:szCs w:val="20"/>
        </w:rPr>
      </w:pPr>
      <w:r w:rsidRPr="00E808A1">
        <w:rPr>
          <w:rFonts w:cs="Arial"/>
          <w:sz w:val="20"/>
          <w:szCs w:val="20"/>
        </w:rPr>
        <w:t>14: Previous mouse flank number. #14 flank tumor was passaged to #16 flank.</w:t>
      </w:r>
    </w:p>
    <w:p w14:paraId="3BFB8F7B" w14:textId="3D38EFDA" w:rsidR="006827C0" w:rsidRPr="00E808A1" w:rsidRDefault="006827C0" w:rsidP="00E808A1">
      <w:pPr>
        <w:pStyle w:val="ListParagraph"/>
        <w:numPr>
          <w:ilvl w:val="2"/>
          <w:numId w:val="13"/>
        </w:numPr>
        <w:spacing w:after="0" w:line="240" w:lineRule="auto"/>
        <w:rPr>
          <w:rFonts w:cs="Arial"/>
          <w:sz w:val="20"/>
          <w:szCs w:val="20"/>
        </w:rPr>
      </w:pPr>
      <w:r w:rsidRPr="00E808A1">
        <w:rPr>
          <w:rFonts w:cs="Arial"/>
          <w:sz w:val="20"/>
          <w:szCs w:val="20"/>
        </w:rPr>
        <w:t>10: Tumor generation. Number of times the tumor was passed from mouse-to-mouse.</w:t>
      </w:r>
    </w:p>
    <w:p w14:paraId="3CBC2771" w14:textId="00F42CC2" w:rsidR="006827C0" w:rsidRPr="00E808A1" w:rsidRDefault="006827C0" w:rsidP="00E808A1">
      <w:pPr>
        <w:pStyle w:val="ListParagraph"/>
        <w:numPr>
          <w:ilvl w:val="2"/>
          <w:numId w:val="13"/>
        </w:numPr>
        <w:spacing w:after="0" w:line="240" w:lineRule="auto"/>
        <w:rPr>
          <w:rFonts w:cs="Arial"/>
          <w:sz w:val="20"/>
          <w:szCs w:val="20"/>
        </w:rPr>
      </w:pPr>
      <w:r w:rsidRPr="00E808A1">
        <w:rPr>
          <w:rFonts w:cs="Arial"/>
          <w:sz w:val="20"/>
          <w:szCs w:val="20"/>
        </w:rPr>
        <w:t>VF: Virus-Free. At one point, this line was cleared of the LDEV mouse virus.</w:t>
      </w:r>
    </w:p>
    <w:p w14:paraId="1941F803" w14:textId="77777777" w:rsidR="006827C0" w:rsidRPr="00E808A1" w:rsidRDefault="006827C0" w:rsidP="00E808A1">
      <w:pPr>
        <w:pStyle w:val="ListParagraph"/>
        <w:numPr>
          <w:ilvl w:val="3"/>
          <w:numId w:val="13"/>
        </w:numPr>
        <w:spacing w:after="0" w:line="240" w:lineRule="auto"/>
        <w:rPr>
          <w:rFonts w:cs="Arial"/>
          <w:sz w:val="20"/>
          <w:szCs w:val="20"/>
        </w:rPr>
      </w:pPr>
      <w:r w:rsidRPr="00E808A1">
        <w:rPr>
          <w:rFonts w:cs="Arial"/>
          <w:sz w:val="20"/>
          <w:szCs w:val="20"/>
        </w:rPr>
        <w:t>We no longer test for this as the virus does not affect our studies.</w:t>
      </w:r>
    </w:p>
    <w:p w14:paraId="7CFF074A" w14:textId="789D5A14" w:rsidR="009B775A" w:rsidRPr="00E808A1" w:rsidRDefault="006827C0" w:rsidP="00E808A1">
      <w:pPr>
        <w:pStyle w:val="ListParagraph"/>
        <w:numPr>
          <w:ilvl w:val="2"/>
          <w:numId w:val="13"/>
        </w:numPr>
        <w:spacing w:after="0" w:line="240" w:lineRule="auto"/>
        <w:rPr>
          <w:rFonts w:cs="Arial"/>
          <w:sz w:val="20"/>
          <w:szCs w:val="20"/>
        </w:rPr>
      </w:pPr>
      <w:r w:rsidRPr="00E808A1">
        <w:rPr>
          <w:rFonts w:cs="Arial"/>
          <w:sz w:val="20"/>
          <w:szCs w:val="20"/>
        </w:rPr>
        <w:t xml:space="preserve">G: Our abbreviation for </w:t>
      </w:r>
      <w:r w:rsidR="00C754AE" w:rsidRPr="00E808A1">
        <w:rPr>
          <w:rFonts w:cs="Arial"/>
          <w:sz w:val="20"/>
          <w:szCs w:val="20"/>
        </w:rPr>
        <w:t>g</w:t>
      </w:r>
      <w:r w:rsidRPr="00E808A1">
        <w:rPr>
          <w:rFonts w:cs="Arial"/>
          <w:sz w:val="20"/>
          <w:szCs w:val="20"/>
        </w:rPr>
        <w:t>lioblastoma or GBM</w:t>
      </w:r>
    </w:p>
    <w:p w14:paraId="6ADB34EE" w14:textId="77777777" w:rsidR="006827C0" w:rsidRPr="00E808A1" w:rsidRDefault="006827C0" w:rsidP="00E808A1">
      <w:pPr>
        <w:pStyle w:val="ListParagraph"/>
        <w:numPr>
          <w:ilvl w:val="2"/>
          <w:numId w:val="13"/>
        </w:numPr>
        <w:spacing w:after="0" w:line="240" w:lineRule="auto"/>
        <w:rPr>
          <w:rFonts w:cs="Arial"/>
          <w:sz w:val="20"/>
          <w:szCs w:val="20"/>
        </w:rPr>
      </w:pPr>
      <w:r w:rsidRPr="00E808A1">
        <w:rPr>
          <w:rFonts w:cs="Arial"/>
          <w:sz w:val="20"/>
          <w:szCs w:val="20"/>
        </w:rPr>
        <w:t>RG: This line was restarted from cryo-preserved tissue.</w:t>
      </w:r>
    </w:p>
    <w:p w14:paraId="72CCA17E" w14:textId="6B75B4C3" w:rsidR="006827C0" w:rsidRPr="00E808A1" w:rsidRDefault="006827C0" w:rsidP="00E808A1">
      <w:pPr>
        <w:pStyle w:val="ListParagraph"/>
        <w:numPr>
          <w:ilvl w:val="3"/>
          <w:numId w:val="13"/>
        </w:numPr>
        <w:spacing w:after="0" w:line="240" w:lineRule="auto"/>
        <w:rPr>
          <w:rFonts w:cs="Arial"/>
          <w:sz w:val="20"/>
          <w:szCs w:val="20"/>
        </w:rPr>
      </w:pPr>
      <w:r w:rsidRPr="00E808A1">
        <w:rPr>
          <w:rFonts w:cs="Arial"/>
          <w:sz w:val="20"/>
          <w:szCs w:val="20"/>
        </w:rPr>
        <w:t xml:space="preserve"> We no longer record as most lines have been restarted.</w:t>
      </w:r>
    </w:p>
    <w:p w14:paraId="5EC795F2" w14:textId="77777777" w:rsidR="009B775A" w:rsidRPr="00E808A1" w:rsidRDefault="009B775A" w:rsidP="00E808A1">
      <w:pPr>
        <w:spacing w:after="0" w:line="240" w:lineRule="auto"/>
        <w:rPr>
          <w:rFonts w:cs="Arial"/>
          <w:sz w:val="20"/>
          <w:szCs w:val="20"/>
        </w:rPr>
      </w:pPr>
    </w:p>
    <w:p w14:paraId="29D04CB1" w14:textId="77777777" w:rsidR="009B775A" w:rsidRPr="00E808A1" w:rsidRDefault="009B775A" w:rsidP="00E808A1">
      <w:pPr>
        <w:spacing w:after="0" w:line="240" w:lineRule="auto"/>
        <w:rPr>
          <w:rFonts w:cs="Arial"/>
          <w:bCs/>
        </w:rPr>
      </w:pPr>
      <w:r w:rsidRPr="00E808A1">
        <w:rPr>
          <w:rFonts w:cs="Arial"/>
          <w:b/>
        </w:rPr>
        <w:t>Table 1. Examples of GBM PDX Cell Proliferation Rates</w:t>
      </w:r>
    </w:p>
    <w:p w14:paraId="371AEBBB" w14:textId="55E86D34" w:rsidR="009B775A" w:rsidRPr="00E808A1" w:rsidRDefault="009B775A" w:rsidP="00E808A1">
      <w:pPr>
        <w:spacing w:after="0" w:line="240" w:lineRule="auto"/>
        <w:rPr>
          <w:rFonts w:cs="Arial"/>
          <w:sz w:val="20"/>
          <w:szCs w:val="20"/>
        </w:rPr>
      </w:pPr>
      <w:r w:rsidRPr="00E808A1">
        <w:rPr>
          <w:rFonts w:cs="Arial"/>
          <w:sz w:val="20"/>
          <w:szCs w:val="20"/>
        </w:rPr>
        <w:t>Proliferation rates were determined using the Cell Titer GLO Viability assay (Promega) in FBS cell cultures on D</w:t>
      </w:r>
      <w:r w:rsidR="00376D8D" w:rsidRPr="00E808A1">
        <w:rPr>
          <w:rFonts w:cs="Arial"/>
          <w:sz w:val="20"/>
          <w:szCs w:val="20"/>
        </w:rPr>
        <w:t xml:space="preserve">ay 1 and Day 7 after plating. </w:t>
      </w:r>
      <w:r w:rsidRPr="00E808A1">
        <w:rPr>
          <w:rFonts w:cs="Arial"/>
          <w:sz w:val="20"/>
          <w:szCs w:val="20"/>
        </w:rPr>
        <w:t>Cells were plat</w:t>
      </w:r>
      <w:r w:rsidR="00376D8D" w:rsidRPr="00E808A1">
        <w:rPr>
          <w:rFonts w:cs="Arial"/>
          <w:sz w:val="20"/>
          <w:szCs w:val="20"/>
        </w:rPr>
        <w:t xml:space="preserve">ed at 2000 per well on Day 0. Two established cell lines (U251 and U87) </w:t>
      </w:r>
      <w:r w:rsidR="00951F60" w:rsidRPr="00E808A1">
        <w:rPr>
          <w:rFonts w:cs="Arial"/>
          <w:sz w:val="20"/>
          <w:szCs w:val="20"/>
        </w:rPr>
        <w:t>were</w:t>
      </w:r>
      <w:r w:rsidR="00376D8D" w:rsidRPr="00E808A1">
        <w:rPr>
          <w:rFonts w:cs="Arial"/>
          <w:sz w:val="20"/>
          <w:szCs w:val="20"/>
        </w:rPr>
        <w:t xml:space="preserve"> provided as a comparator.</w:t>
      </w:r>
    </w:p>
    <w:p w14:paraId="1ED23F13" w14:textId="77777777" w:rsidR="009B775A" w:rsidRPr="00E808A1" w:rsidRDefault="009B775A" w:rsidP="00E808A1">
      <w:pPr>
        <w:spacing w:after="0" w:line="240" w:lineRule="auto"/>
        <w:rPr>
          <w:rFonts w:cs="Arial"/>
          <w:bCs/>
          <w:sz w:val="20"/>
          <w:szCs w:val="20"/>
        </w:rPr>
      </w:pPr>
    </w:p>
    <w:tbl>
      <w:tblPr>
        <w:tblW w:w="4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2340"/>
      </w:tblGrid>
      <w:tr w:rsidR="009B775A" w:rsidRPr="00E808A1" w14:paraId="43B66648" w14:textId="77777777" w:rsidTr="00951F60">
        <w:trPr>
          <w:trHeight w:val="440"/>
          <w:jc w:val="center"/>
        </w:trPr>
        <w:tc>
          <w:tcPr>
            <w:tcW w:w="2245" w:type="dxa"/>
            <w:shd w:val="clear" w:color="auto" w:fill="D9D9D9" w:themeFill="background1" w:themeFillShade="D9"/>
            <w:vAlign w:val="center"/>
            <w:hideMark/>
          </w:tcPr>
          <w:p w14:paraId="02CA8317" w14:textId="77777777" w:rsidR="009B775A" w:rsidRPr="00E808A1" w:rsidRDefault="009B775A" w:rsidP="00E808A1">
            <w:pPr>
              <w:spacing w:after="0" w:line="240" w:lineRule="auto"/>
              <w:jc w:val="center"/>
              <w:rPr>
                <w:rFonts w:cs="Arial"/>
                <w:b/>
                <w:bCs/>
                <w:sz w:val="20"/>
                <w:szCs w:val="20"/>
              </w:rPr>
            </w:pPr>
            <w:r w:rsidRPr="00E808A1">
              <w:rPr>
                <w:rFonts w:cs="Arial"/>
                <w:b/>
                <w:bCs/>
                <w:sz w:val="20"/>
                <w:szCs w:val="20"/>
              </w:rPr>
              <w:t>GBM Cell Line</w:t>
            </w:r>
            <w:r w:rsidR="00376D8D" w:rsidRPr="00E808A1">
              <w:rPr>
                <w:rFonts w:cs="Arial"/>
                <w:b/>
                <w:bCs/>
                <w:sz w:val="20"/>
                <w:szCs w:val="20"/>
              </w:rPr>
              <w:t>s</w:t>
            </w:r>
          </w:p>
        </w:tc>
        <w:tc>
          <w:tcPr>
            <w:tcW w:w="2340" w:type="dxa"/>
            <w:shd w:val="clear" w:color="auto" w:fill="D9D9D9" w:themeFill="background1" w:themeFillShade="D9"/>
            <w:vAlign w:val="center"/>
            <w:hideMark/>
          </w:tcPr>
          <w:p w14:paraId="2E13ABE6" w14:textId="77777777" w:rsidR="009B775A" w:rsidRPr="00E808A1" w:rsidRDefault="009B775A" w:rsidP="00E808A1">
            <w:pPr>
              <w:spacing w:after="0" w:line="240" w:lineRule="auto"/>
              <w:jc w:val="center"/>
              <w:rPr>
                <w:rFonts w:cs="Arial"/>
                <w:b/>
                <w:bCs/>
                <w:sz w:val="20"/>
                <w:szCs w:val="20"/>
              </w:rPr>
            </w:pPr>
            <w:r w:rsidRPr="00E808A1">
              <w:rPr>
                <w:rFonts w:cs="Arial"/>
                <w:b/>
                <w:bCs/>
                <w:sz w:val="20"/>
                <w:szCs w:val="20"/>
              </w:rPr>
              <w:t>Fold Proliferation</w:t>
            </w:r>
          </w:p>
        </w:tc>
      </w:tr>
      <w:tr w:rsidR="009B775A" w:rsidRPr="00E808A1" w14:paraId="10FE06A3" w14:textId="77777777" w:rsidTr="00951F60">
        <w:trPr>
          <w:trHeight w:val="250"/>
          <w:jc w:val="center"/>
        </w:trPr>
        <w:tc>
          <w:tcPr>
            <w:tcW w:w="2245" w:type="dxa"/>
            <w:shd w:val="clear" w:color="auto" w:fill="auto"/>
            <w:noWrap/>
            <w:vAlign w:val="center"/>
            <w:hideMark/>
          </w:tcPr>
          <w:p w14:paraId="477EACD3" w14:textId="77777777" w:rsidR="009B775A" w:rsidRPr="00E808A1" w:rsidRDefault="009B775A" w:rsidP="00E808A1">
            <w:pPr>
              <w:spacing w:after="0" w:line="240" w:lineRule="auto"/>
              <w:jc w:val="center"/>
              <w:rPr>
                <w:rFonts w:cs="Arial"/>
                <w:sz w:val="20"/>
                <w:szCs w:val="20"/>
              </w:rPr>
            </w:pPr>
            <w:r w:rsidRPr="00E808A1">
              <w:rPr>
                <w:rFonts w:cs="Arial"/>
                <w:sz w:val="20"/>
                <w:szCs w:val="20"/>
              </w:rPr>
              <w:t>GBM6</w:t>
            </w:r>
          </w:p>
        </w:tc>
        <w:tc>
          <w:tcPr>
            <w:tcW w:w="2340" w:type="dxa"/>
            <w:shd w:val="clear" w:color="auto" w:fill="auto"/>
            <w:noWrap/>
            <w:vAlign w:val="center"/>
            <w:hideMark/>
          </w:tcPr>
          <w:p w14:paraId="61B8FE3B" w14:textId="77777777" w:rsidR="009B775A" w:rsidRPr="00E808A1" w:rsidRDefault="009B775A" w:rsidP="00E808A1">
            <w:pPr>
              <w:spacing w:after="0" w:line="240" w:lineRule="auto"/>
              <w:jc w:val="center"/>
              <w:rPr>
                <w:rFonts w:cs="Arial"/>
                <w:sz w:val="20"/>
                <w:szCs w:val="20"/>
              </w:rPr>
            </w:pPr>
            <w:r w:rsidRPr="00E808A1">
              <w:rPr>
                <w:rFonts w:cs="Arial"/>
                <w:sz w:val="20"/>
                <w:szCs w:val="20"/>
              </w:rPr>
              <w:t>3.5</w:t>
            </w:r>
          </w:p>
        </w:tc>
      </w:tr>
      <w:tr w:rsidR="009B775A" w:rsidRPr="00E808A1" w14:paraId="4F1FF9AF" w14:textId="77777777" w:rsidTr="00951F60">
        <w:trPr>
          <w:trHeight w:val="250"/>
          <w:jc w:val="center"/>
        </w:trPr>
        <w:tc>
          <w:tcPr>
            <w:tcW w:w="2245" w:type="dxa"/>
            <w:shd w:val="clear" w:color="auto" w:fill="auto"/>
            <w:noWrap/>
            <w:vAlign w:val="center"/>
            <w:hideMark/>
          </w:tcPr>
          <w:p w14:paraId="7C514F96" w14:textId="77777777" w:rsidR="009B775A" w:rsidRPr="00E808A1" w:rsidRDefault="009B775A" w:rsidP="00E808A1">
            <w:pPr>
              <w:spacing w:after="0" w:line="240" w:lineRule="auto"/>
              <w:jc w:val="center"/>
              <w:rPr>
                <w:rFonts w:cs="Arial"/>
                <w:sz w:val="20"/>
                <w:szCs w:val="20"/>
              </w:rPr>
            </w:pPr>
            <w:r w:rsidRPr="00E808A1">
              <w:rPr>
                <w:rFonts w:cs="Arial"/>
                <w:sz w:val="20"/>
                <w:szCs w:val="20"/>
              </w:rPr>
              <w:t>GBM10</w:t>
            </w:r>
          </w:p>
        </w:tc>
        <w:tc>
          <w:tcPr>
            <w:tcW w:w="2340" w:type="dxa"/>
            <w:shd w:val="clear" w:color="auto" w:fill="auto"/>
            <w:noWrap/>
            <w:vAlign w:val="center"/>
            <w:hideMark/>
          </w:tcPr>
          <w:p w14:paraId="56672C6B" w14:textId="77777777" w:rsidR="009B775A" w:rsidRPr="00E808A1" w:rsidRDefault="009B775A" w:rsidP="00E808A1">
            <w:pPr>
              <w:spacing w:after="0" w:line="240" w:lineRule="auto"/>
              <w:jc w:val="center"/>
              <w:rPr>
                <w:rFonts w:cs="Arial"/>
                <w:sz w:val="20"/>
                <w:szCs w:val="20"/>
              </w:rPr>
            </w:pPr>
            <w:r w:rsidRPr="00E808A1">
              <w:rPr>
                <w:rFonts w:cs="Arial"/>
                <w:sz w:val="20"/>
                <w:szCs w:val="20"/>
              </w:rPr>
              <w:t>2.2</w:t>
            </w:r>
          </w:p>
        </w:tc>
      </w:tr>
      <w:tr w:rsidR="009B775A" w:rsidRPr="00E808A1" w14:paraId="031D8E28" w14:textId="77777777" w:rsidTr="00951F60">
        <w:trPr>
          <w:trHeight w:val="250"/>
          <w:jc w:val="center"/>
        </w:trPr>
        <w:tc>
          <w:tcPr>
            <w:tcW w:w="2245" w:type="dxa"/>
            <w:shd w:val="clear" w:color="auto" w:fill="auto"/>
            <w:noWrap/>
            <w:vAlign w:val="center"/>
          </w:tcPr>
          <w:p w14:paraId="18BA8F3C" w14:textId="77777777" w:rsidR="009B775A" w:rsidRPr="00E808A1" w:rsidRDefault="009B775A" w:rsidP="00E808A1">
            <w:pPr>
              <w:spacing w:after="0" w:line="240" w:lineRule="auto"/>
              <w:jc w:val="center"/>
              <w:rPr>
                <w:rFonts w:cs="Arial"/>
                <w:sz w:val="20"/>
                <w:szCs w:val="20"/>
              </w:rPr>
            </w:pPr>
            <w:r w:rsidRPr="00E808A1">
              <w:rPr>
                <w:rFonts w:cs="Arial"/>
                <w:sz w:val="20"/>
                <w:szCs w:val="20"/>
              </w:rPr>
              <w:t>GBM14</w:t>
            </w:r>
          </w:p>
        </w:tc>
        <w:tc>
          <w:tcPr>
            <w:tcW w:w="2340" w:type="dxa"/>
            <w:shd w:val="clear" w:color="auto" w:fill="auto"/>
            <w:noWrap/>
            <w:vAlign w:val="center"/>
          </w:tcPr>
          <w:p w14:paraId="4815B069" w14:textId="77777777" w:rsidR="009B775A" w:rsidRPr="00E808A1" w:rsidRDefault="009B775A" w:rsidP="00E808A1">
            <w:pPr>
              <w:spacing w:after="0" w:line="240" w:lineRule="auto"/>
              <w:jc w:val="center"/>
              <w:rPr>
                <w:rFonts w:cs="Arial"/>
                <w:sz w:val="20"/>
                <w:szCs w:val="20"/>
              </w:rPr>
            </w:pPr>
            <w:r w:rsidRPr="00E808A1">
              <w:rPr>
                <w:rFonts w:cs="Arial"/>
                <w:sz w:val="20"/>
                <w:szCs w:val="20"/>
              </w:rPr>
              <w:t>4.4-6.2</w:t>
            </w:r>
          </w:p>
        </w:tc>
      </w:tr>
      <w:tr w:rsidR="009B775A" w:rsidRPr="00E808A1" w14:paraId="1C9FF6A1" w14:textId="77777777" w:rsidTr="00951F60">
        <w:trPr>
          <w:trHeight w:val="250"/>
          <w:jc w:val="center"/>
        </w:trPr>
        <w:tc>
          <w:tcPr>
            <w:tcW w:w="2245" w:type="dxa"/>
            <w:shd w:val="clear" w:color="auto" w:fill="auto"/>
            <w:noWrap/>
            <w:vAlign w:val="center"/>
          </w:tcPr>
          <w:p w14:paraId="1FE33820" w14:textId="77777777" w:rsidR="009B775A" w:rsidRPr="00E808A1" w:rsidRDefault="009B775A" w:rsidP="00E808A1">
            <w:pPr>
              <w:spacing w:after="0" w:line="240" w:lineRule="auto"/>
              <w:jc w:val="center"/>
              <w:rPr>
                <w:rFonts w:cs="Arial"/>
                <w:sz w:val="20"/>
                <w:szCs w:val="20"/>
              </w:rPr>
            </w:pPr>
            <w:r w:rsidRPr="00E808A1">
              <w:rPr>
                <w:rFonts w:cs="Arial"/>
                <w:sz w:val="20"/>
                <w:szCs w:val="20"/>
              </w:rPr>
              <w:t>GBM26*</w:t>
            </w:r>
          </w:p>
        </w:tc>
        <w:tc>
          <w:tcPr>
            <w:tcW w:w="2340" w:type="dxa"/>
            <w:shd w:val="clear" w:color="auto" w:fill="auto"/>
            <w:noWrap/>
            <w:vAlign w:val="center"/>
          </w:tcPr>
          <w:p w14:paraId="6AECE1D1" w14:textId="77777777" w:rsidR="009B775A" w:rsidRPr="00E808A1" w:rsidRDefault="009B775A" w:rsidP="00E808A1">
            <w:pPr>
              <w:spacing w:after="0" w:line="240" w:lineRule="auto"/>
              <w:jc w:val="center"/>
              <w:rPr>
                <w:rFonts w:cs="Arial"/>
                <w:sz w:val="20"/>
                <w:szCs w:val="20"/>
              </w:rPr>
            </w:pPr>
            <w:r w:rsidRPr="00E808A1">
              <w:rPr>
                <w:rFonts w:cs="Arial"/>
                <w:sz w:val="20"/>
                <w:szCs w:val="20"/>
              </w:rPr>
              <w:t>0.38</w:t>
            </w:r>
          </w:p>
        </w:tc>
      </w:tr>
      <w:tr w:rsidR="009B775A" w:rsidRPr="00E808A1" w14:paraId="3ED7DCF1" w14:textId="77777777" w:rsidTr="00951F60">
        <w:trPr>
          <w:trHeight w:val="250"/>
          <w:jc w:val="center"/>
        </w:trPr>
        <w:tc>
          <w:tcPr>
            <w:tcW w:w="2245" w:type="dxa"/>
            <w:shd w:val="clear" w:color="auto" w:fill="auto"/>
            <w:noWrap/>
            <w:vAlign w:val="center"/>
          </w:tcPr>
          <w:p w14:paraId="3FC540F3" w14:textId="77777777" w:rsidR="009B775A" w:rsidRPr="00E808A1" w:rsidRDefault="009B775A" w:rsidP="00E808A1">
            <w:pPr>
              <w:spacing w:after="0" w:line="240" w:lineRule="auto"/>
              <w:jc w:val="center"/>
              <w:rPr>
                <w:rFonts w:cs="Arial"/>
                <w:sz w:val="20"/>
                <w:szCs w:val="20"/>
              </w:rPr>
            </w:pPr>
            <w:r w:rsidRPr="00E808A1">
              <w:rPr>
                <w:rFonts w:cs="Arial"/>
                <w:sz w:val="20"/>
                <w:szCs w:val="20"/>
              </w:rPr>
              <w:t>GBM43</w:t>
            </w:r>
          </w:p>
        </w:tc>
        <w:tc>
          <w:tcPr>
            <w:tcW w:w="2340" w:type="dxa"/>
            <w:shd w:val="clear" w:color="auto" w:fill="auto"/>
            <w:noWrap/>
            <w:vAlign w:val="center"/>
          </w:tcPr>
          <w:p w14:paraId="0D59888A" w14:textId="77777777" w:rsidR="009B775A" w:rsidRPr="00E808A1" w:rsidRDefault="009B775A" w:rsidP="00E808A1">
            <w:pPr>
              <w:spacing w:after="0" w:line="240" w:lineRule="auto"/>
              <w:jc w:val="center"/>
              <w:rPr>
                <w:rFonts w:cs="Arial"/>
                <w:sz w:val="20"/>
                <w:szCs w:val="20"/>
              </w:rPr>
            </w:pPr>
            <w:r w:rsidRPr="00E808A1">
              <w:rPr>
                <w:rFonts w:cs="Arial"/>
                <w:sz w:val="20"/>
                <w:szCs w:val="20"/>
              </w:rPr>
              <w:t>4.9-5.3</w:t>
            </w:r>
          </w:p>
        </w:tc>
      </w:tr>
      <w:tr w:rsidR="009B775A" w:rsidRPr="00E808A1" w14:paraId="7462E008" w14:textId="77777777" w:rsidTr="00951F60">
        <w:trPr>
          <w:trHeight w:val="250"/>
          <w:jc w:val="center"/>
        </w:trPr>
        <w:tc>
          <w:tcPr>
            <w:tcW w:w="2245" w:type="dxa"/>
            <w:shd w:val="clear" w:color="auto" w:fill="auto"/>
            <w:noWrap/>
            <w:vAlign w:val="center"/>
          </w:tcPr>
          <w:p w14:paraId="7A43D5F9" w14:textId="77777777" w:rsidR="009B775A" w:rsidRPr="00E808A1" w:rsidRDefault="009B775A" w:rsidP="00E808A1">
            <w:pPr>
              <w:spacing w:after="0" w:line="240" w:lineRule="auto"/>
              <w:jc w:val="center"/>
              <w:rPr>
                <w:rFonts w:cs="Arial"/>
                <w:sz w:val="20"/>
                <w:szCs w:val="20"/>
              </w:rPr>
            </w:pPr>
            <w:r w:rsidRPr="00E808A1">
              <w:rPr>
                <w:rFonts w:cs="Arial"/>
                <w:sz w:val="20"/>
                <w:szCs w:val="20"/>
              </w:rPr>
              <w:t>GBM44</w:t>
            </w:r>
          </w:p>
        </w:tc>
        <w:tc>
          <w:tcPr>
            <w:tcW w:w="2340" w:type="dxa"/>
            <w:shd w:val="clear" w:color="auto" w:fill="auto"/>
            <w:noWrap/>
            <w:vAlign w:val="center"/>
          </w:tcPr>
          <w:p w14:paraId="1774BC27" w14:textId="77777777" w:rsidR="009B775A" w:rsidRPr="00E808A1" w:rsidRDefault="009B775A" w:rsidP="00E808A1">
            <w:pPr>
              <w:spacing w:after="0" w:line="240" w:lineRule="auto"/>
              <w:jc w:val="center"/>
              <w:rPr>
                <w:rFonts w:cs="Arial"/>
                <w:sz w:val="20"/>
                <w:szCs w:val="20"/>
              </w:rPr>
            </w:pPr>
            <w:r w:rsidRPr="00E808A1">
              <w:rPr>
                <w:rFonts w:cs="Arial"/>
                <w:sz w:val="20"/>
                <w:szCs w:val="20"/>
              </w:rPr>
              <w:t>3.4</w:t>
            </w:r>
          </w:p>
        </w:tc>
      </w:tr>
      <w:tr w:rsidR="009B775A" w:rsidRPr="00E808A1" w14:paraId="3EFC3046" w14:textId="77777777" w:rsidTr="00951F60">
        <w:trPr>
          <w:trHeight w:val="250"/>
          <w:jc w:val="center"/>
        </w:trPr>
        <w:tc>
          <w:tcPr>
            <w:tcW w:w="2245" w:type="dxa"/>
            <w:shd w:val="clear" w:color="auto" w:fill="auto"/>
            <w:noWrap/>
            <w:vAlign w:val="center"/>
          </w:tcPr>
          <w:p w14:paraId="10399822" w14:textId="77777777" w:rsidR="009B775A" w:rsidRPr="00E808A1" w:rsidRDefault="009B775A" w:rsidP="00E808A1">
            <w:pPr>
              <w:spacing w:after="0" w:line="240" w:lineRule="auto"/>
              <w:jc w:val="center"/>
              <w:rPr>
                <w:rFonts w:cs="Arial"/>
                <w:sz w:val="20"/>
                <w:szCs w:val="20"/>
              </w:rPr>
            </w:pPr>
            <w:r w:rsidRPr="00E808A1">
              <w:rPr>
                <w:rFonts w:cs="Arial"/>
                <w:sz w:val="20"/>
                <w:szCs w:val="20"/>
              </w:rPr>
              <w:t>GBM108</w:t>
            </w:r>
          </w:p>
        </w:tc>
        <w:tc>
          <w:tcPr>
            <w:tcW w:w="2340" w:type="dxa"/>
            <w:shd w:val="clear" w:color="auto" w:fill="auto"/>
            <w:noWrap/>
            <w:vAlign w:val="center"/>
          </w:tcPr>
          <w:p w14:paraId="0C8E0255" w14:textId="77777777" w:rsidR="009B775A" w:rsidRPr="00E808A1" w:rsidRDefault="009B775A" w:rsidP="00E808A1">
            <w:pPr>
              <w:spacing w:after="0" w:line="240" w:lineRule="auto"/>
              <w:jc w:val="center"/>
              <w:rPr>
                <w:rFonts w:cs="Arial"/>
                <w:sz w:val="20"/>
                <w:szCs w:val="20"/>
              </w:rPr>
            </w:pPr>
            <w:r w:rsidRPr="00E808A1">
              <w:rPr>
                <w:rFonts w:cs="Arial"/>
                <w:sz w:val="20"/>
                <w:szCs w:val="20"/>
              </w:rPr>
              <w:t>3.7-4.8</w:t>
            </w:r>
          </w:p>
        </w:tc>
      </w:tr>
      <w:tr w:rsidR="009B775A" w:rsidRPr="00E808A1" w14:paraId="43BEE765" w14:textId="77777777" w:rsidTr="00951F60">
        <w:trPr>
          <w:trHeight w:val="250"/>
          <w:jc w:val="center"/>
        </w:trPr>
        <w:tc>
          <w:tcPr>
            <w:tcW w:w="2245" w:type="dxa"/>
            <w:shd w:val="clear" w:color="auto" w:fill="F2F2F2" w:themeFill="background1" w:themeFillShade="F2"/>
            <w:noWrap/>
            <w:vAlign w:val="center"/>
          </w:tcPr>
          <w:p w14:paraId="6BD4CC83" w14:textId="77777777" w:rsidR="009B775A" w:rsidRPr="00E808A1" w:rsidRDefault="009B775A" w:rsidP="00E808A1">
            <w:pPr>
              <w:spacing w:after="0" w:line="240" w:lineRule="auto"/>
              <w:jc w:val="center"/>
              <w:rPr>
                <w:rFonts w:cs="Arial"/>
                <w:sz w:val="20"/>
                <w:szCs w:val="20"/>
              </w:rPr>
            </w:pPr>
            <w:r w:rsidRPr="00E808A1">
              <w:rPr>
                <w:rFonts w:cs="Arial"/>
                <w:sz w:val="20"/>
                <w:szCs w:val="20"/>
              </w:rPr>
              <w:t>U251</w:t>
            </w:r>
          </w:p>
        </w:tc>
        <w:tc>
          <w:tcPr>
            <w:tcW w:w="2340" w:type="dxa"/>
            <w:shd w:val="clear" w:color="auto" w:fill="F2F2F2" w:themeFill="background1" w:themeFillShade="F2"/>
            <w:noWrap/>
            <w:vAlign w:val="center"/>
          </w:tcPr>
          <w:p w14:paraId="5DB6AAAF" w14:textId="77777777" w:rsidR="009B775A" w:rsidRPr="00E808A1" w:rsidRDefault="001D7EC0" w:rsidP="00E808A1">
            <w:pPr>
              <w:spacing w:after="0" w:line="240" w:lineRule="auto"/>
              <w:jc w:val="center"/>
              <w:rPr>
                <w:rFonts w:cs="Arial"/>
                <w:sz w:val="20"/>
                <w:szCs w:val="20"/>
              </w:rPr>
            </w:pPr>
            <w:r w:rsidRPr="00E808A1">
              <w:rPr>
                <w:rFonts w:cs="Arial"/>
                <w:sz w:val="20"/>
                <w:szCs w:val="20"/>
              </w:rPr>
              <w:t>7-10</w:t>
            </w:r>
          </w:p>
        </w:tc>
      </w:tr>
      <w:tr w:rsidR="009B775A" w:rsidRPr="00E808A1" w14:paraId="358B6756" w14:textId="77777777" w:rsidTr="00951F60">
        <w:trPr>
          <w:trHeight w:val="250"/>
          <w:jc w:val="center"/>
        </w:trPr>
        <w:tc>
          <w:tcPr>
            <w:tcW w:w="2245" w:type="dxa"/>
            <w:shd w:val="clear" w:color="auto" w:fill="F2F2F2" w:themeFill="background1" w:themeFillShade="F2"/>
            <w:noWrap/>
            <w:vAlign w:val="center"/>
          </w:tcPr>
          <w:p w14:paraId="0DBFF625" w14:textId="77777777" w:rsidR="009B775A" w:rsidRPr="00E808A1" w:rsidRDefault="009B775A" w:rsidP="00E808A1">
            <w:pPr>
              <w:spacing w:after="0" w:line="240" w:lineRule="auto"/>
              <w:jc w:val="center"/>
              <w:rPr>
                <w:rFonts w:cs="Arial"/>
                <w:sz w:val="20"/>
                <w:szCs w:val="20"/>
              </w:rPr>
            </w:pPr>
            <w:r w:rsidRPr="00E808A1">
              <w:rPr>
                <w:rFonts w:cs="Arial"/>
                <w:sz w:val="20"/>
                <w:szCs w:val="20"/>
              </w:rPr>
              <w:t>U87</w:t>
            </w:r>
          </w:p>
        </w:tc>
        <w:tc>
          <w:tcPr>
            <w:tcW w:w="2340" w:type="dxa"/>
            <w:shd w:val="clear" w:color="auto" w:fill="F2F2F2" w:themeFill="background1" w:themeFillShade="F2"/>
            <w:noWrap/>
            <w:vAlign w:val="center"/>
          </w:tcPr>
          <w:p w14:paraId="1852A4DD" w14:textId="77777777" w:rsidR="009B775A" w:rsidRPr="00E808A1" w:rsidRDefault="001D7EC0" w:rsidP="00E808A1">
            <w:pPr>
              <w:spacing w:after="0" w:line="240" w:lineRule="auto"/>
              <w:jc w:val="center"/>
              <w:rPr>
                <w:rFonts w:cs="Arial"/>
                <w:sz w:val="20"/>
                <w:szCs w:val="20"/>
              </w:rPr>
            </w:pPr>
            <w:r w:rsidRPr="00E808A1">
              <w:rPr>
                <w:rFonts w:cs="Arial"/>
                <w:sz w:val="20"/>
                <w:szCs w:val="20"/>
              </w:rPr>
              <w:t>7-10</w:t>
            </w:r>
          </w:p>
        </w:tc>
      </w:tr>
    </w:tbl>
    <w:p w14:paraId="400818CC" w14:textId="77777777" w:rsidR="00830CC4" w:rsidRPr="00E808A1" w:rsidRDefault="00830CC4" w:rsidP="00E808A1">
      <w:pPr>
        <w:spacing w:after="0" w:line="240" w:lineRule="auto"/>
        <w:rPr>
          <w:rFonts w:cs="Arial"/>
          <w:sz w:val="20"/>
          <w:szCs w:val="20"/>
        </w:rPr>
      </w:pPr>
    </w:p>
    <w:p w14:paraId="11AC19B0" w14:textId="77777777" w:rsidR="004C006C" w:rsidRPr="00E808A1" w:rsidRDefault="00830CC4" w:rsidP="00E808A1">
      <w:pPr>
        <w:spacing w:after="0" w:line="240" w:lineRule="auto"/>
        <w:rPr>
          <w:rFonts w:cs="Arial"/>
          <w:sz w:val="20"/>
          <w:szCs w:val="20"/>
        </w:rPr>
      </w:pPr>
      <w:r w:rsidRPr="00E808A1">
        <w:rPr>
          <w:rFonts w:cs="Arial"/>
          <w:sz w:val="20"/>
          <w:szCs w:val="20"/>
        </w:rPr>
        <w:t>*As c</w:t>
      </w:r>
      <w:r w:rsidR="004C006C" w:rsidRPr="00E808A1">
        <w:rPr>
          <w:rFonts w:cs="Arial"/>
          <w:sz w:val="20"/>
          <w:szCs w:val="20"/>
        </w:rPr>
        <w:t>ell number went down over time</w:t>
      </w:r>
      <w:r w:rsidRPr="00E808A1">
        <w:rPr>
          <w:rFonts w:cs="Arial"/>
          <w:sz w:val="20"/>
          <w:szCs w:val="20"/>
        </w:rPr>
        <w:t xml:space="preserve">, FBS cell cultures </w:t>
      </w:r>
      <w:r w:rsidR="0028353D" w:rsidRPr="00E808A1">
        <w:rPr>
          <w:rFonts w:cs="Arial"/>
          <w:sz w:val="20"/>
          <w:szCs w:val="20"/>
        </w:rPr>
        <w:t>from</w:t>
      </w:r>
      <w:r w:rsidRPr="00E808A1">
        <w:rPr>
          <w:rFonts w:cs="Arial"/>
          <w:sz w:val="20"/>
          <w:szCs w:val="20"/>
        </w:rPr>
        <w:t xml:space="preserve"> this </w:t>
      </w:r>
      <w:r w:rsidR="0028353D" w:rsidRPr="00E808A1">
        <w:rPr>
          <w:rFonts w:cs="Arial"/>
          <w:sz w:val="20"/>
          <w:szCs w:val="20"/>
        </w:rPr>
        <w:t xml:space="preserve">PDX </w:t>
      </w:r>
      <w:r w:rsidRPr="00E808A1">
        <w:rPr>
          <w:rFonts w:cs="Arial"/>
          <w:sz w:val="20"/>
          <w:szCs w:val="20"/>
        </w:rPr>
        <w:t>line have limited experimental use in vitro.</w:t>
      </w:r>
    </w:p>
    <w:p w14:paraId="126224AC" w14:textId="77777777" w:rsidR="004C006C" w:rsidRPr="00E808A1" w:rsidRDefault="004C006C" w:rsidP="00E808A1">
      <w:pPr>
        <w:spacing w:after="0" w:line="240" w:lineRule="auto"/>
        <w:rPr>
          <w:rFonts w:cs="Arial"/>
          <w:b/>
          <w:sz w:val="20"/>
          <w:szCs w:val="20"/>
          <w:u w:val="single"/>
        </w:rPr>
      </w:pPr>
    </w:p>
    <w:p w14:paraId="5A2582A5" w14:textId="77777777" w:rsidR="004C006C" w:rsidRPr="00E808A1" w:rsidRDefault="004C006C" w:rsidP="00E808A1">
      <w:pPr>
        <w:spacing w:after="0" w:line="240" w:lineRule="auto"/>
        <w:rPr>
          <w:rFonts w:cs="Arial"/>
          <w:b/>
          <w:sz w:val="20"/>
          <w:szCs w:val="20"/>
          <w:u w:val="single"/>
        </w:rPr>
      </w:pPr>
    </w:p>
    <w:p w14:paraId="6C11DB91" w14:textId="50B2430D" w:rsidR="0028353D" w:rsidRPr="00E808A1" w:rsidRDefault="0028353D" w:rsidP="00E808A1">
      <w:pPr>
        <w:spacing w:after="0" w:line="240" w:lineRule="auto"/>
        <w:rPr>
          <w:rFonts w:cs="Arial"/>
          <w:b/>
        </w:rPr>
      </w:pPr>
      <w:r w:rsidRPr="00E808A1">
        <w:rPr>
          <w:rFonts w:cs="Arial"/>
          <w:b/>
        </w:rPr>
        <w:t>Table 2. Cell number recommendations for in vitro assays</w:t>
      </w:r>
    </w:p>
    <w:p w14:paraId="04212B89" w14:textId="53043883" w:rsidR="00D5675C" w:rsidRDefault="00D5675C" w:rsidP="00E808A1">
      <w:pPr>
        <w:spacing w:after="0" w:line="240" w:lineRule="auto"/>
        <w:rPr>
          <w:rFonts w:cs="Arial"/>
          <w:sz w:val="20"/>
          <w:szCs w:val="20"/>
        </w:rPr>
      </w:pPr>
      <w:r w:rsidRPr="00E808A1">
        <w:rPr>
          <w:rFonts w:cs="Arial"/>
          <w:sz w:val="20"/>
          <w:szCs w:val="20"/>
        </w:rPr>
        <w:t>This list encompasses lines in which we have the most experience. Many of these numbers will depend on the timepoint of interest. The shorter the timepoint, the more cells that may need to be plated as proli</w:t>
      </w:r>
      <w:r w:rsidR="00996719" w:rsidRPr="00E808A1">
        <w:rPr>
          <w:rFonts w:cs="Arial"/>
          <w:sz w:val="20"/>
          <w:szCs w:val="20"/>
        </w:rPr>
        <w:t xml:space="preserve">feration time will be shorter. </w:t>
      </w:r>
      <w:r w:rsidR="00314CD4" w:rsidRPr="00E808A1">
        <w:rPr>
          <w:rFonts w:cs="Arial"/>
          <w:sz w:val="20"/>
          <w:szCs w:val="20"/>
        </w:rPr>
        <w:t xml:space="preserve">The cell numbers used for the Cell Titer GLO and CyQuant assays would be specific to a </w:t>
      </w:r>
      <w:r w:rsidR="007A1DC0" w:rsidRPr="00E808A1">
        <w:rPr>
          <w:rFonts w:cs="Arial"/>
          <w:sz w:val="20"/>
          <w:szCs w:val="20"/>
        </w:rPr>
        <w:t>5-</w:t>
      </w:r>
      <w:r w:rsidR="00314CD4" w:rsidRPr="00E808A1">
        <w:rPr>
          <w:rFonts w:cs="Arial"/>
          <w:sz w:val="20"/>
          <w:szCs w:val="20"/>
        </w:rPr>
        <w:t>7 day assay readout.  All of the other assay cell numbers would be appropriate for 24-72 hour assays.</w:t>
      </w:r>
      <w:r w:rsidR="00996719" w:rsidRPr="00E808A1">
        <w:rPr>
          <w:rFonts w:cs="Arial"/>
          <w:sz w:val="20"/>
          <w:szCs w:val="20"/>
        </w:rPr>
        <w:t xml:space="preserve"> The established cell line U251 was provided as a comparator.</w:t>
      </w:r>
    </w:p>
    <w:p w14:paraId="63F8DB5F" w14:textId="5D04A6EC" w:rsidR="006C7AB2" w:rsidRDefault="006C7AB2" w:rsidP="00E808A1">
      <w:pPr>
        <w:spacing w:after="0" w:line="240" w:lineRule="auto"/>
        <w:rPr>
          <w:rFonts w:cs="Arial"/>
          <w:sz w:val="20"/>
          <w:szCs w:val="20"/>
        </w:rPr>
      </w:pPr>
    </w:p>
    <w:p w14:paraId="16849CA7" w14:textId="787A823D" w:rsidR="006C7AB2" w:rsidRDefault="006C7AB2" w:rsidP="00E808A1">
      <w:pPr>
        <w:spacing w:after="0" w:line="240" w:lineRule="auto"/>
        <w:rPr>
          <w:rFonts w:cs="Arial"/>
          <w:sz w:val="20"/>
          <w:szCs w:val="20"/>
        </w:rPr>
      </w:pPr>
    </w:p>
    <w:p w14:paraId="0EE35A9F" w14:textId="43182E00" w:rsidR="006C7AB2" w:rsidRDefault="006C7AB2" w:rsidP="00E808A1">
      <w:pPr>
        <w:spacing w:after="0" w:line="240" w:lineRule="auto"/>
        <w:rPr>
          <w:rFonts w:cs="Arial"/>
          <w:sz w:val="20"/>
          <w:szCs w:val="20"/>
        </w:rPr>
      </w:pPr>
    </w:p>
    <w:p w14:paraId="11A97E3C" w14:textId="77777777" w:rsidR="006C7AB2" w:rsidRPr="00E808A1" w:rsidRDefault="006C7AB2" w:rsidP="00E808A1">
      <w:pPr>
        <w:spacing w:after="0" w:line="240" w:lineRule="auto"/>
        <w:rPr>
          <w:rFonts w:cs="Arial"/>
          <w:sz w:val="20"/>
          <w:szCs w:val="20"/>
        </w:rPr>
      </w:pPr>
    </w:p>
    <w:p w14:paraId="078FE2F1" w14:textId="77777777" w:rsidR="0028353D" w:rsidRPr="00E808A1" w:rsidRDefault="0028353D" w:rsidP="00E808A1">
      <w:pPr>
        <w:spacing w:after="0" w:line="240" w:lineRule="auto"/>
        <w:rPr>
          <w:rFonts w:cs="Arial"/>
          <w:b/>
          <w:sz w:val="20"/>
          <w:szCs w:val="20"/>
        </w:rPr>
      </w:pPr>
    </w:p>
    <w:tbl>
      <w:tblPr>
        <w:tblW w:w="0" w:type="auto"/>
        <w:tblInd w:w="93" w:type="dxa"/>
        <w:tblLook w:val="04A0" w:firstRow="1" w:lastRow="0" w:firstColumn="1" w:lastColumn="0" w:noHBand="0" w:noVBand="1"/>
      </w:tblPr>
      <w:tblGrid>
        <w:gridCol w:w="1099"/>
        <w:gridCol w:w="2745"/>
        <w:gridCol w:w="1985"/>
        <w:gridCol w:w="1510"/>
        <w:gridCol w:w="2120"/>
        <w:gridCol w:w="1238"/>
      </w:tblGrid>
      <w:tr w:rsidR="0028353D" w:rsidRPr="00E808A1" w14:paraId="32FF0E5A" w14:textId="77777777" w:rsidTr="0028353D">
        <w:trPr>
          <w:trHeight w:val="360"/>
        </w:trPr>
        <w:tc>
          <w:tcPr>
            <w:tcW w:w="0" w:type="auto"/>
            <w:tcBorders>
              <w:top w:val="single" w:sz="4" w:space="0" w:color="auto"/>
              <w:left w:val="single" w:sz="4" w:space="0" w:color="auto"/>
              <w:bottom w:val="nil"/>
              <w:right w:val="nil"/>
            </w:tcBorders>
            <w:shd w:val="clear" w:color="auto" w:fill="D9D9D9" w:themeFill="background1" w:themeFillShade="D9"/>
            <w:noWrap/>
            <w:vAlign w:val="center"/>
            <w:hideMark/>
          </w:tcPr>
          <w:p w14:paraId="3601E58F" w14:textId="77777777" w:rsidR="0028353D" w:rsidRPr="00E808A1" w:rsidRDefault="0028353D" w:rsidP="00E808A1">
            <w:pPr>
              <w:spacing w:after="0" w:line="240" w:lineRule="auto"/>
              <w:jc w:val="center"/>
              <w:rPr>
                <w:rFonts w:cs="Arial"/>
                <w:b/>
                <w:sz w:val="20"/>
                <w:szCs w:val="20"/>
                <w:u w:val="single"/>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D066A9" w14:textId="77777777" w:rsidR="0028353D" w:rsidRPr="00E808A1" w:rsidRDefault="0028353D" w:rsidP="00E808A1">
            <w:pPr>
              <w:spacing w:after="0" w:line="240" w:lineRule="auto"/>
              <w:jc w:val="center"/>
              <w:rPr>
                <w:rFonts w:cs="Arial"/>
                <w:b/>
                <w:sz w:val="20"/>
                <w:szCs w:val="20"/>
              </w:rPr>
            </w:pPr>
            <w:r w:rsidRPr="00E808A1">
              <w:rPr>
                <w:rFonts w:cs="Arial"/>
                <w:b/>
                <w:bCs/>
                <w:sz w:val="20"/>
                <w:szCs w:val="20"/>
              </w:rPr>
              <w:t>Assays</w:t>
            </w:r>
          </w:p>
        </w:tc>
      </w:tr>
      <w:tr w:rsidR="006827C0" w:rsidRPr="00E808A1" w14:paraId="3DBD042F" w14:textId="77777777" w:rsidTr="006827C0">
        <w:trPr>
          <w:trHeight w:val="78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66BEF" w14:textId="77777777" w:rsidR="0028353D" w:rsidRPr="00E808A1" w:rsidRDefault="0028353D" w:rsidP="00E808A1">
            <w:pPr>
              <w:spacing w:after="0" w:line="240" w:lineRule="auto"/>
              <w:jc w:val="center"/>
              <w:rPr>
                <w:rFonts w:cs="Arial"/>
                <w:b/>
                <w:bCs/>
                <w:sz w:val="20"/>
                <w:szCs w:val="20"/>
              </w:rPr>
            </w:pPr>
            <w:r w:rsidRPr="00E808A1">
              <w:rPr>
                <w:rFonts w:cs="Arial"/>
                <w:b/>
                <w:bCs/>
                <w:sz w:val="20"/>
                <w:szCs w:val="20"/>
              </w:rPr>
              <w:lastRenderedPageBreak/>
              <w:t>GBM Cell Line</w:t>
            </w:r>
          </w:p>
        </w:tc>
        <w:tc>
          <w:tcPr>
            <w:tcW w:w="2745" w:type="dxa"/>
            <w:tcBorders>
              <w:top w:val="nil"/>
              <w:left w:val="nil"/>
              <w:bottom w:val="single" w:sz="4" w:space="0" w:color="auto"/>
              <w:right w:val="single" w:sz="4" w:space="0" w:color="auto"/>
            </w:tcBorders>
            <w:shd w:val="clear" w:color="auto" w:fill="D9D9D9" w:themeFill="background1" w:themeFillShade="D9"/>
            <w:vAlign w:val="center"/>
            <w:hideMark/>
          </w:tcPr>
          <w:p w14:paraId="25F7AD7B" w14:textId="370E63C7" w:rsidR="0028353D" w:rsidRPr="00E808A1" w:rsidRDefault="0028353D" w:rsidP="00E808A1">
            <w:pPr>
              <w:spacing w:after="0" w:line="240" w:lineRule="auto"/>
              <w:jc w:val="center"/>
              <w:rPr>
                <w:rFonts w:cs="Arial"/>
                <w:b/>
                <w:bCs/>
                <w:sz w:val="20"/>
                <w:szCs w:val="20"/>
              </w:rPr>
            </w:pPr>
            <w:r w:rsidRPr="00E808A1">
              <w:rPr>
                <w:rFonts w:cs="Arial"/>
                <w:b/>
                <w:bCs/>
                <w:sz w:val="20"/>
                <w:szCs w:val="20"/>
              </w:rPr>
              <w:t>Cell Titer GLO Viability assay</w:t>
            </w:r>
            <w:r w:rsidR="006827C0" w:rsidRPr="00E808A1">
              <w:rPr>
                <w:rFonts w:cs="Arial"/>
                <w:b/>
                <w:bCs/>
                <w:sz w:val="20"/>
                <w:szCs w:val="20"/>
              </w:rPr>
              <w:t xml:space="preserve"> </w:t>
            </w:r>
            <w:r w:rsidRPr="00E808A1">
              <w:rPr>
                <w:rFonts w:cs="Arial"/>
                <w:b/>
                <w:bCs/>
                <w:sz w:val="20"/>
                <w:szCs w:val="20"/>
              </w:rPr>
              <w:t>(96-well plate)</w:t>
            </w:r>
          </w:p>
        </w:tc>
        <w:tc>
          <w:tcPr>
            <w:tcW w:w="1985" w:type="dxa"/>
            <w:tcBorders>
              <w:top w:val="nil"/>
              <w:left w:val="nil"/>
              <w:bottom w:val="single" w:sz="4" w:space="0" w:color="auto"/>
              <w:right w:val="single" w:sz="4" w:space="0" w:color="auto"/>
            </w:tcBorders>
            <w:shd w:val="clear" w:color="auto" w:fill="D9D9D9" w:themeFill="background1" w:themeFillShade="D9"/>
            <w:vAlign w:val="center"/>
            <w:hideMark/>
          </w:tcPr>
          <w:p w14:paraId="599CCD0C" w14:textId="77777777" w:rsidR="00C754AE" w:rsidRPr="00E808A1" w:rsidRDefault="0028353D" w:rsidP="00E808A1">
            <w:pPr>
              <w:spacing w:after="0" w:line="240" w:lineRule="auto"/>
              <w:jc w:val="center"/>
              <w:rPr>
                <w:rFonts w:cs="Arial"/>
                <w:b/>
                <w:bCs/>
                <w:sz w:val="20"/>
                <w:szCs w:val="20"/>
              </w:rPr>
            </w:pPr>
            <w:r w:rsidRPr="00E808A1">
              <w:rPr>
                <w:rFonts w:cs="Arial"/>
                <w:b/>
                <w:bCs/>
                <w:sz w:val="20"/>
                <w:szCs w:val="20"/>
              </w:rPr>
              <w:t>CyQuant Proliferation assay</w:t>
            </w:r>
          </w:p>
          <w:p w14:paraId="29C712B0" w14:textId="720C36BC" w:rsidR="0028353D" w:rsidRPr="00E808A1" w:rsidRDefault="0028353D" w:rsidP="00E808A1">
            <w:pPr>
              <w:spacing w:after="0" w:line="240" w:lineRule="auto"/>
              <w:jc w:val="center"/>
              <w:rPr>
                <w:rFonts w:cs="Arial"/>
                <w:b/>
                <w:bCs/>
                <w:sz w:val="20"/>
                <w:szCs w:val="20"/>
              </w:rPr>
            </w:pPr>
            <w:r w:rsidRPr="00E808A1">
              <w:rPr>
                <w:rFonts w:cs="Arial"/>
                <w:b/>
                <w:bCs/>
                <w:sz w:val="20"/>
                <w:szCs w:val="20"/>
              </w:rPr>
              <w:t>(96-well plate)</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A5A40E2" w14:textId="77777777" w:rsidR="00C754AE" w:rsidRPr="00E808A1" w:rsidRDefault="0028353D" w:rsidP="00E808A1">
            <w:pPr>
              <w:spacing w:after="0" w:line="240" w:lineRule="auto"/>
              <w:jc w:val="center"/>
              <w:rPr>
                <w:rFonts w:cs="Arial"/>
                <w:b/>
                <w:bCs/>
                <w:sz w:val="20"/>
                <w:szCs w:val="20"/>
              </w:rPr>
            </w:pPr>
            <w:r w:rsidRPr="00E808A1">
              <w:rPr>
                <w:rFonts w:cs="Arial"/>
                <w:b/>
                <w:bCs/>
                <w:sz w:val="20"/>
                <w:szCs w:val="20"/>
              </w:rPr>
              <w:t>Flow Cytometry for Cell Cycle</w:t>
            </w:r>
          </w:p>
          <w:p w14:paraId="5524BCF5" w14:textId="53780BF2" w:rsidR="0028353D" w:rsidRPr="00E808A1" w:rsidRDefault="0028353D" w:rsidP="00E808A1">
            <w:pPr>
              <w:spacing w:after="0" w:line="240" w:lineRule="auto"/>
              <w:jc w:val="center"/>
              <w:rPr>
                <w:rFonts w:cs="Arial"/>
                <w:b/>
                <w:bCs/>
                <w:sz w:val="20"/>
                <w:szCs w:val="20"/>
              </w:rPr>
            </w:pPr>
            <w:r w:rsidRPr="00E808A1">
              <w:rPr>
                <w:rFonts w:cs="Arial"/>
                <w:b/>
                <w:bCs/>
                <w:sz w:val="20"/>
                <w:szCs w:val="20"/>
              </w:rPr>
              <w:t>(10 cm dish)</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7D71E6BB" w14:textId="77777777" w:rsidR="0028353D" w:rsidRPr="00E808A1" w:rsidRDefault="0028353D" w:rsidP="00E808A1">
            <w:pPr>
              <w:spacing w:after="0" w:line="240" w:lineRule="auto"/>
              <w:jc w:val="center"/>
              <w:rPr>
                <w:rFonts w:cs="Arial"/>
                <w:b/>
                <w:bCs/>
                <w:sz w:val="20"/>
                <w:szCs w:val="20"/>
              </w:rPr>
            </w:pPr>
            <w:r w:rsidRPr="00E808A1">
              <w:rPr>
                <w:rFonts w:cs="Arial"/>
                <w:b/>
                <w:bCs/>
                <w:sz w:val="20"/>
                <w:szCs w:val="20"/>
              </w:rPr>
              <w:t>Immuno-fluorescence (20x20mm coverslip, 6-well plate)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D30F2D" w14:textId="77777777" w:rsidR="00C754AE" w:rsidRPr="00E808A1" w:rsidRDefault="0028353D" w:rsidP="00E808A1">
            <w:pPr>
              <w:spacing w:after="0" w:line="240" w:lineRule="auto"/>
              <w:jc w:val="center"/>
              <w:rPr>
                <w:rFonts w:cs="Arial"/>
                <w:b/>
                <w:bCs/>
                <w:sz w:val="20"/>
                <w:szCs w:val="20"/>
              </w:rPr>
            </w:pPr>
            <w:r w:rsidRPr="00E808A1">
              <w:rPr>
                <w:rFonts w:cs="Arial"/>
                <w:b/>
                <w:bCs/>
                <w:sz w:val="20"/>
                <w:szCs w:val="20"/>
              </w:rPr>
              <w:t>Western blotting</w:t>
            </w:r>
          </w:p>
          <w:p w14:paraId="15AD8B13" w14:textId="132454BA" w:rsidR="0028353D" w:rsidRPr="00E808A1" w:rsidRDefault="0028353D" w:rsidP="00E808A1">
            <w:pPr>
              <w:spacing w:after="0" w:line="240" w:lineRule="auto"/>
              <w:jc w:val="center"/>
              <w:rPr>
                <w:rFonts w:cs="Arial"/>
                <w:b/>
                <w:bCs/>
                <w:sz w:val="20"/>
                <w:szCs w:val="20"/>
              </w:rPr>
            </w:pPr>
            <w:r w:rsidRPr="00E808A1">
              <w:rPr>
                <w:rFonts w:cs="Arial"/>
                <w:b/>
                <w:bCs/>
                <w:sz w:val="20"/>
                <w:szCs w:val="20"/>
              </w:rPr>
              <w:t>(10 cm dish)</w:t>
            </w:r>
          </w:p>
        </w:tc>
      </w:tr>
      <w:tr w:rsidR="006827C0" w:rsidRPr="00E808A1" w14:paraId="42DA9CA3" w14:textId="77777777" w:rsidTr="006827C0">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566654" w14:textId="77777777" w:rsidR="0028353D" w:rsidRPr="00E808A1" w:rsidRDefault="0028353D" w:rsidP="00E808A1">
            <w:pPr>
              <w:spacing w:after="0" w:line="240" w:lineRule="auto"/>
              <w:jc w:val="center"/>
              <w:rPr>
                <w:rFonts w:cs="Arial"/>
                <w:sz w:val="20"/>
                <w:szCs w:val="20"/>
              </w:rPr>
            </w:pPr>
            <w:r w:rsidRPr="00E808A1">
              <w:rPr>
                <w:rFonts w:cs="Arial"/>
                <w:sz w:val="20"/>
                <w:szCs w:val="20"/>
              </w:rPr>
              <w:t>GBM6</w:t>
            </w:r>
          </w:p>
        </w:tc>
        <w:tc>
          <w:tcPr>
            <w:tcW w:w="2745" w:type="dxa"/>
            <w:tcBorders>
              <w:top w:val="nil"/>
              <w:left w:val="nil"/>
              <w:bottom w:val="single" w:sz="4" w:space="0" w:color="auto"/>
              <w:right w:val="single" w:sz="4" w:space="0" w:color="auto"/>
            </w:tcBorders>
            <w:shd w:val="clear" w:color="auto" w:fill="auto"/>
            <w:noWrap/>
            <w:vAlign w:val="center"/>
            <w:hideMark/>
          </w:tcPr>
          <w:p w14:paraId="68A06387" w14:textId="50CE9495" w:rsidR="0028353D" w:rsidRPr="00E808A1" w:rsidRDefault="0028353D" w:rsidP="00E808A1">
            <w:pPr>
              <w:spacing w:after="0" w:line="240" w:lineRule="auto"/>
              <w:jc w:val="center"/>
              <w:rPr>
                <w:rFonts w:cs="Arial"/>
                <w:sz w:val="20"/>
                <w:szCs w:val="20"/>
              </w:rPr>
            </w:pPr>
            <w:r w:rsidRPr="00E808A1">
              <w:rPr>
                <w:rFonts w:cs="Arial"/>
                <w:sz w:val="20"/>
                <w:szCs w:val="20"/>
              </w:rPr>
              <w:t>2000</w:t>
            </w:r>
            <w:r w:rsidR="006827C0" w:rsidRPr="00E808A1">
              <w:rPr>
                <w:rFonts w:cs="Arial"/>
                <w:sz w:val="20"/>
                <w:szCs w:val="20"/>
              </w:rPr>
              <w:t>-5000 (best in stem)</w:t>
            </w:r>
          </w:p>
        </w:tc>
        <w:tc>
          <w:tcPr>
            <w:tcW w:w="1985" w:type="dxa"/>
            <w:tcBorders>
              <w:top w:val="nil"/>
              <w:left w:val="nil"/>
              <w:bottom w:val="single" w:sz="4" w:space="0" w:color="auto"/>
              <w:right w:val="single" w:sz="4" w:space="0" w:color="auto"/>
            </w:tcBorders>
            <w:shd w:val="clear" w:color="auto" w:fill="auto"/>
            <w:noWrap/>
            <w:vAlign w:val="center"/>
            <w:hideMark/>
          </w:tcPr>
          <w:p w14:paraId="6C172907" w14:textId="5D9936F9" w:rsidR="0028353D" w:rsidRPr="00E808A1" w:rsidRDefault="0028353D" w:rsidP="00E808A1">
            <w:pPr>
              <w:spacing w:after="0" w:line="240" w:lineRule="auto"/>
              <w:jc w:val="center"/>
              <w:rPr>
                <w:rFonts w:cs="Arial"/>
                <w:sz w:val="20"/>
                <w:szCs w:val="20"/>
              </w:rPr>
            </w:pPr>
            <w:r w:rsidRPr="00E808A1">
              <w:rPr>
                <w:rFonts w:cs="Arial"/>
                <w:sz w:val="20"/>
                <w:szCs w:val="20"/>
              </w:rPr>
              <w:t>2000</w:t>
            </w:r>
            <w:r w:rsidR="00657B1E" w:rsidRPr="00E808A1">
              <w:rPr>
                <w:rFonts w:cs="Arial"/>
                <w:sz w:val="20"/>
                <w:szCs w:val="20"/>
              </w:rPr>
              <w:t>-5000</w:t>
            </w:r>
          </w:p>
        </w:tc>
        <w:tc>
          <w:tcPr>
            <w:tcW w:w="0" w:type="auto"/>
            <w:tcBorders>
              <w:top w:val="nil"/>
              <w:left w:val="nil"/>
              <w:bottom w:val="single" w:sz="4" w:space="0" w:color="auto"/>
              <w:right w:val="single" w:sz="4" w:space="0" w:color="auto"/>
            </w:tcBorders>
            <w:shd w:val="clear" w:color="auto" w:fill="auto"/>
            <w:noWrap/>
            <w:vAlign w:val="center"/>
            <w:hideMark/>
          </w:tcPr>
          <w:p w14:paraId="4F8DDC77" w14:textId="77777777" w:rsidR="0028353D" w:rsidRPr="00E808A1" w:rsidRDefault="0028353D" w:rsidP="00E808A1">
            <w:pPr>
              <w:spacing w:after="0" w:line="240" w:lineRule="auto"/>
              <w:jc w:val="center"/>
              <w:rPr>
                <w:rFonts w:cs="Arial"/>
                <w:sz w:val="20"/>
                <w:szCs w:val="20"/>
              </w:rPr>
            </w:pPr>
            <w:r w:rsidRPr="00E808A1">
              <w:rPr>
                <w:rFonts w:cs="Arial"/>
                <w:sz w:val="20"/>
                <w:szCs w:val="20"/>
              </w:rPr>
              <w:t>2 million</w:t>
            </w:r>
          </w:p>
        </w:tc>
        <w:tc>
          <w:tcPr>
            <w:tcW w:w="0" w:type="auto"/>
            <w:tcBorders>
              <w:top w:val="nil"/>
              <w:left w:val="nil"/>
              <w:bottom w:val="single" w:sz="4" w:space="0" w:color="auto"/>
              <w:right w:val="single" w:sz="4" w:space="0" w:color="auto"/>
            </w:tcBorders>
            <w:shd w:val="clear" w:color="auto" w:fill="auto"/>
            <w:noWrap/>
            <w:vAlign w:val="center"/>
            <w:hideMark/>
          </w:tcPr>
          <w:p w14:paraId="104FA2DE" w14:textId="77777777" w:rsidR="0028353D" w:rsidRPr="00E808A1" w:rsidRDefault="0028353D" w:rsidP="00E808A1">
            <w:pPr>
              <w:spacing w:after="0" w:line="240" w:lineRule="auto"/>
              <w:jc w:val="center"/>
              <w:rPr>
                <w:rFonts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5A27C5C2" w14:textId="77777777" w:rsidR="0028353D" w:rsidRPr="00E808A1" w:rsidRDefault="0028353D" w:rsidP="00E808A1">
            <w:pPr>
              <w:spacing w:after="0" w:line="240" w:lineRule="auto"/>
              <w:jc w:val="center"/>
              <w:rPr>
                <w:rFonts w:cs="Arial"/>
                <w:sz w:val="20"/>
                <w:szCs w:val="20"/>
              </w:rPr>
            </w:pPr>
            <w:r w:rsidRPr="00E808A1">
              <w:rPr>
                <w:rFonts w:cs="Arial"/>
                <w:sz w:val="20"/>
                <w:szCs w:val="20"/>
              </w:rPr>
              <w:t>2-3 million</w:t>
            </w:r>
          </w:p>
        </w:tc>
      </w:tr>
      <w:tr w:rsidR="006827C0" w:rsidRPr="00E808A1" w14:paraId="73A0CDE8" w14:textId="77777777" w:rsidTr="006827C0">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B7E80A" w14:textId="77777777" w:rsidR="0028353D" w:rsidRPr="00E808A1" w:rsidRDefault="0028353D" w:rsidP="00E808A1">
            <w:pPr>
              <w:spacing w:after="0" w:line="240" w:lineRule="auto"/>
              <w:jc w:val="center"/>
              <w:rPr>
                <w:rFonts w:cs="Arial"/>
                <w:sz w:val="20"/>
                <w:szCs w:val="20"/>
              </w:rPr>
            </w:pPr>
            <w:r w:rsidRPr="00E808A1">
              <w:rPr>
                <w:rFonts w:cs="Arial"/>
                <w:sz w:val="20"/>
                <w:szCs w:val="20"/>
              </w:rPr>
              <w:t>GBM10</w:t>
            </w:r>
          </w:p>
        </w:tc>
        <w:tc>
          <w:tcPr>
            <w:tcW w:w="2745" w:type="dxa"/>
            <w:tcBorders>
              <w:top w:val="nil"/>
              <w:left w:val="nil"/>
              <w:bottom w:val="single" w:sz="4" w:space="0" w:color="auto"/>
              <w:right w:val="single" w:sz="4" w:space="0" w:color="auto"/>
            </w:tcBorders>
            <w:shd w:val="clear" w:color="auto" w:fill="auto"/>
            <w:noWrap/>
            <w:vAlign w:val="center"/>
            <w:hideMark/>
          </w:tcPr>
          <w:p w14:paraId="454DA4C5" w14:textId="04569994" w:rsidR="0028353D" w:rsidRPr="00E808A1" w:rsidRDefault="006827C0" w:rsidP="00E808A1">
            <w:pPr>
              <w:spacing w:after="0" w:line="240" w:lineRule="auto"/>
              <w:jc w:val="center"/>
              <w:rPr>
                <w:rFonts w:cs="Arial"/>
                <w:sz w:val="20"/>
                <w:szCs w:val="20"/>
              </w:rPr>
            </w:pPr>
            <w:r w:rsidRPr="00E808A1">
              <w:rPr>
                <w:rFonts w:cs="Arial"/>
                <w:sz w:val="20"/>
                <w:szCs w:val="20"/>
              </w:rPr>
              <w:t>2000-5000 (best in FBS)</w:t>
            </w:r>
          </w:p>
        </w:tc>
        <w:tc>
          <w:tcPr>
            <w:tcW w:w="1985" w:type="dxa"/>
            <w:tcBorders>
              <w:top w:val="nil"/>
              <w:left w:val="nil"/>
              <w:bottom w:val="single" w:sz="4" w:space="0" w:color="auto"/>
              <w:right w:val="single" w:sz="4" w:space="0" w:color="auto"/>
            </w:tcBorders>
            <w:shd w:val="clear" w:color="auto" w:fill="auto"/>
            <w:noWrap/>
            <w:vAlign w:val="center"/>
            <w:hideMark/>
          </w:tcPr>
          <w:p w14:paraId="4EB6EAF0" w14:textId="790B52DE" w:rsidR="0028353D" w:rsidRPr="00E808A1" w:rsidRDefault="00657B1E" w:rsidP="00E808A1">
            <w:pPr>
              <w:spacing w:after="0" w:line="240" w:lineRule="auto"/>
              <w:jc w:val="center"/>
              <w:rPr>
                <w:rFonts w:cs="Arial"/>
                <w:sz w:val="20"/>
                <w:szCs w:val="20"/>
              </w:rPr>
            </w:pPr>
            <w:r w:rsidRPr="00E808A1">
              <w:rPr>
                <w:rFonts w:cs="Arial"/>
                <w:sz w:val="20"/>
                <w:szCs w:val="20"/>
              </w:rPr>
              <w:t>2000-5000</w:t>
            </w:r>
          </w:p>
        </w:tc>
        <w:tc>
          <w:tcPr>
            <w:tcW w:w="0" w:type="auto"/>
            <w:tcBorders>
              <w:top w:val="nil"/>
              <w:left w:val="nil"/>
              <w:bottom w:val="single" w:sz="4" w:space="0" w:color="auto"/>
              <w:right w:val="single" w:sz="4" w:space="0" w:color="auto"/>
            </w:tcBorders>
            <w:shd w:val="clear" w:color="auto" w:fill="auto"/>
            <w:noWrap/>
            <w:vAlign w:val="center"/>
          </w:tcPr>
          <w:p w14:paraId="5A5FDD11" w14:textId="77777777" w:rsidR="0028353D" w:rsidRPr="00E808A1" w:rsidRDefault="0028353D" w:rsidP="00E808A1">
            <w:pPr>
              <w:spacing w:after="0" w:line="240" w:lineRule="auto"/>
              <w:jc w:val="center"/>
              <w:rPr>
                <w:rFonts w:cs="Arial"/>
                <w:sz w:val="20"/>
                <w:szCs w:val="20"/>
              </w:rPr>
            </w:pPr>
            <w:r w:rsidRPr="00E808A1">
              <w:rPr>
                <w:rFonts w:cs="Arial"/>
                <w:sz w:val="20"/>
                <w:szCs w:val="20"/>
              </w:rPr>
              <w:t>2 million</w:t>
            </w:r>
          </w:p>
        </w:tc>
        <w:tc>
          <w:tcPr>
            <w:tcW w:w="0" w:type="auto"/>
            <w:tcBorders>
              <w:top w:val="nil"/>
              <w:left w:val="nil"/>
              <w:bottom w:val="single" w:sz="4" w:space="0" w:color="auto"/>
              <w:right w:val="single" w:sz="4" w:space="0" w:color="auto"/>
            </w:tcBorders>
            <w:shd w:val="clear" w:color="auto" w:fill="auto"/>
            <w:noWrap/>
            <w:vAlign w:val="center"/>
            <w:hideMark/>
          </w:tcPr>
          <w:p w14:paraId="2AB0B3E3" w14:textId="77777777" w:rsidR="0028353D" w:rsidRPr="00E808A1" w:rsidRDefault="0028353D" w:rsidP="00E808A1">
            <w:pPr>
              <w:spacing w:after="0" w:line="240" w:lineRule="auto"/>
              <w:jc w:val="center"/>
              <w:rPr>
                <w:rFonts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57F1D5B8" w14:textId="77777777" w:rsidR="0028353D" w:rsidRPr="00E808A1" w:rsidRDefault="0028353D" w:rsidP="00E808A1">
            <w:pPr>
              <w:spacing w:after="0" w:line="240" w:lineRule="auto"/>
              <w:jc w:val="center"/>
              <w:rPr>
                <w:rFonts w:cs="Arial"/>
                <w:sz w:val="20"/>
                <w:szCs w:val="20"/>
              </w:rPr>
            </w:pPr>
            <w:r w:rsidRPr="00E808A1">
              <w:rPr>
                <w:rFonts w:cs="Arial"/>
                <w:sz w:val="20"/>
                <w:szCs w:val="20"/>
              </w:rPr>
              <w:t>2-3 million</w:t>
            </w:r>
          </w:p>
        </w:tc>
      </w:tr>
      <w:tr w:rsidR="006827C0" w:rsidRPr="00E808A1" w14:paraId="31079522" w14:textId="77777777" w:rsidTr="006827C0">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823DB" w14:textId="77777777" w:rsidR="0028353D" w:rsidRPr="00E808A1" w:rsidRDefault="0028353D" w:rsidP="00E808A1">
            <w:pPr>
              <w:spacing w:after="0" w:line="240" w:lineRule="auto"/>
              <w:jc w:val="center"/>
              <w:rPr>
                <w:rFonts w:cs="Arial"/>
                <w:sz w:val="20"/>
                <w:szCs w:val="20"/>
              </w:rPr>
            </w:pPr>
            <w:r w:rsidRPr="00E808A1">
              <w:rPr>
                <w:rFonts w:cs="Arial"/>
                <w:sz w:val="20"/>
                <w:szCs w:val="20"/>
              </w:rPr>
              <w:t>GBM12</w:t>
            </w:r>
          </w:p>
        </w:tc>
        <w:tc>
          <w:tcPr>
            <w:tcW w:w="2745" w:type="dxa"/>
            <w:tcBorders>
              <w:top w:val="nil"/>
              <w:left w:val="nil"/>
              <w:bottom w:val="single" w:sz="4" w:space="0" w:color="auto"/>
              <w:right w:val="single" w:sz="4" w:space="0" w:color="auto"/>
            </w:tcBorders>
            <w:shd w:val="clear" w:color="auto" w:fill="auto"/>
            <w:noWrap/>
            <w:vAlign w:val="center"/>
            <w:hideMark/>
          </w:tcPr>
          <w:p w14:paraId="02547C07" w14:textId="77777777" w:rsidR="0028353D" w:rsidRPr="00E808A1" w:rsidRDefault="0028353D" w:rsidP="00E808A1">
            <w:pPr>
              <w:spacing w:after="0" w:line="240" w:lineRule="auto"/>
              <w:jc w:val="center"/>
              <w:rPr>
                <w:rFonts w:cs="Arial"/>
                <w:sz w:val="20"/>
                <w:szCs w:val="20"/>
              </w:rPr>
            </w:pPr>
            <w:r w:rsidRPr="00E808A1">
              <w:rPr>
                <w:rFonts w:cs="Arial"/>
                <w:sz w:val="20"/>
                <w:szCs w:val="20"/>
              </w:rPr>
              <w:t>500 (stem only)</w:t>
            </w:r>
          </w:p>
        </w:tc>
        <w:tc>
          <w:tcPr>
            <w:tcW w:w="1985" w:type="dxa"/>
            <w:tcBorders>
              <w:top w:val="nil"/>
              <w:left w:val="nil"/>
              <w:bottom w:val="single" w:sz="4" w:space="0" w:color="auto"/>
              <w:right w:val="single" w:sz="4" w:space="0" w:color="auto"/>
            </w:tcBorders>
            <w:shd w:val="clear" w:color="auto" w:fill="auto"/>
            <w:noWrap/>
            <w:vAlign w:val="center"/>
            <w:hideMark/>
          </w:tcPr>
          <w:p w14:paraId="7E26C892" w14:textId="77777777" w:rsidR="0028353D" w:rsidRPr="00E808A1" w:rsidRDefault="0028353D" w:rsidP="00E808A1">
            <w:pPr>
              <w:spacing w:after="0" w:line="240" w:lineRule="auto"/>
              <w:jc w:val="center"/>
              <w:rPr>
                <w:rFonts w:cs="Arial"/>
                <w:sz w:val="20"/>
                <w:szCs w:val="20"/>
              </w:rPr>
            </w:pPr>
            <w:r w:rsidRPr="00E808A1">
              <w:rPr>
                <w:rFonts w:cs="Arial"/>
                <w:sz w:val="20"/>
                <w:szCs w:val="20"/>
              </w:rPr>
              <w:t>not advised</w:t>
            </w:r>
          </w:p>
        </w:tc>
        <w:tc>
          <w:tcPr>
            <w:tcW w:w="0" w:type="auto"/>
            <w:tcBorders>
              <w:top w:val="nil"/>
              <w:left w:val="nil"/>
              <w:bottom w:val="single" w:sz="4" w:space="0" w:color="auto"/>
              <w:right w:val="single" w:sz="4" w:space="0" w:color="auto"/>
            </w:tcBorders>
            <w:shd w:val="clear" w:color="auto" w:fill="auto"/>
            <w:noWrap/>
            <w:vAlign w:val="center"/>
          </w:tcPr>
          <w:p w14:paraId="30E97371" w14:textId="77777777" w:rsidR="0028353D" w:rsidRPr="00E808A1" w:rsidRDefault="0028353D" w:rsidP="00E808A1">
            <w:pPr>
              <w:spacing w:after="0" w:line="240" w:lineRule="auto"/>
              <w:jc w:val="center"/>
              <w:rPr>
                <w:rFonts w:cs="Arial"/>
                <w:sz w:val="20"/>
                <w:szCs w:val="20"/>
              </w:rPr>
            </w:pPr>
            <w:r w:rsidRPr="00E808A1">
              <w:rPr>
                <w:rFonts w:cs="Arial"/>
                <w:sz w:val="20"/>
                <w:szCs w:val="20"/>
              </w:rPr>
              <w:t>2 million</w:t>
            </w:r>
          </w:p>
        </w:tc>
        <w:tc>
          <w:tcPr>
            <w:tcW w:w="0" w:type="auto"/>
            <w:tcBorders>
              <w:top w:val="nil"/>
              <w:left w:val="nil"/>
              <w:bottom w:val="single" w:sz="4" w:space="0" w:color="auto"/>
              <w:right w:val="single" w:sz="4" w:space="0" w:color="auto"/>
            </w:tcBorders>
            <w:shd w:val="clear" w:color="auto" w:fill="auto"/>
            <w:noWrap/>
            <w:vAlign w:val="center"/>
            <w:hideMark/>
          </w:tcPr>
          <w:p w14:paraId="06FE7DE9" w14:textId="77777777" w:rsidR="0028353D" w:rsidRPr="00E808A1" w:rsidRDefault="0028353D" w:rsidP="00E808A1">
            <w:pPr>
              <w:spacing w:after="0" w:line="240" w:lineRule="auto"/>
              <w:jc w:val="center"/>
              <w:rPr>
                <w:rFonts w:cs="Arial"/>
                <w:sz w:val="20"/>
                <w:szCs w:val="20"/>
              </w:rPr>
            </w:pPr>
            <w:r w:rsidRPr="00E808A1">
              <w:rPr>
                <w:rFonts w:cs="Arial"/>
                <w:sz w:val="20"/>
                <w:szCs w:val="20"/>
              </w:rPr>
              <w:t>500,000</w:t>
            </w:r>
            <w:r w:rsidR="00D5675C" w:rsidRPr="00E808A1">
              <w:rPr>
                <w:rFonts w:cs="Arial"/>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6C310E89" w14:textId="77777777" w:rsidR="0028353D" w:rsidRPr="00E808A1" w:rsidRDefault="0028353D" w:rsidP="00E808A1">
            <w:pPr>
              <w:spacing w:after="0" w:line="240" w:lineRule="auto"/>
              <w:jc w:val="center"/>
              <w:rPr>
                <w:rFonts w:cs="Arial"/>
                <w:sz w:val="20"/>
                <w:szCs w:val="20"/>
              </w:rPr>
            </w:pPr>
            <w:r w:rsidRPr="00E808A1">
              <w:rPr>
                <w:rFonts w:cs="Arial"/>
                <w:sz w:val="20"/>
                <w:szCs w:val="20"/>
              </w:rPr>
              <w:t>2-3 million</w:t>
            </w:r>
          </w:p>
        </w:tc>
      </w:tr>
      <w:tr w:rsidR="006827C0" w:rsidRPr="00E808A1" w14:paraId="78AB050F" w14:textId="77777777" w:rsidTr="006827C0">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0FA78" w14:textId="77777777" w:rsidR="0028353D" w:rsidRPr="00E808A1" w:rsidRDefault="0028353D" w:rsidP="00E808A1">
            <w:pPr>
              <w:spacing w:after="0" w:line="240" w:lineRule="auto"/>
              <w:jc w:val="center"/>
              <w:rPr>
                <w:rFonts w:cs="Arial"/>
                <w:sz w:val="20"/>
                <w:szCs w:val="20"/>
              </w:rPr>
            </w:pPr>
            <w:r w:rsidRPr="00E808A1">
              <w:rPr>
                <w:rFonts w:cs="Arial"/>
                <w:sz w:val="20"/>
                <w:szCs w:val="20"/>
              </w:rPr>
              <w:t>GBM39</w:t>
            </w:r>
          </w:p>
        </w:tc>
        <w:tc>
          <w:tcPr>
            <w:tcW w:w="2745" w:type="dxa"/>
            <w:tcBorders>
              <w:top w:val="nil"/>
              <w:left w:val="nil"/>
              <w:bottom w:val="single" w:sz="4" w:space="0" w:color="auto"/>
              <w:right w:val="single" w:sz="4" w:space="0" w:color="auto"/>
            </w:tcBorders>
            <w:shd w:val="clear" w:color="auto" w:fill="auto"/>
            <w:noWrap/>
            <w:vAlign w:val="center"/>
            <w:hideMark/>
          </w:tcPr>
          <w:p w14:paraId="59C57B26" w14:textId="56B24BED" w:rsidR="0028353D" w:rsidRPr="00E808A1" w:rsidRDefault="006827C0" w:rsidP="00E808A1">
            <w:pPr>
              <w:spacing w:after="0" w:line="240" w:lineRule="auto"/>
              <w:jc w:val="center"/>
              <w:rPr>
                <w:rFonts w:cs="Arial"/>
                <w:sz w:val="20"/>
                <w:szCs w:val="20"/>
              </w:rPr>
            </w:pPr>
            <w:r w:rsidRPr="00E808A1">
              <w:rPr>
                <w:rFonts w:cs="Arial"/>
                <w:sz w:val="20"/>
                <w:szCs w:val="20"/>
              </w:rPr>
              <w:t>2000-5000 (best in FBS)</w:t>
            </w:r>
          </w:p>
        </w:tc>
        <w:tc>
          <w:tcPr>
            <w:tcW w:w="1985" w:type="dxa"/>
            <w:tcBorders>
              <w:top w:val="nil"/>
              <w:left w:val="nil"/>
              <w:bottom w:val="single" w:sz="4" w:space="0" w:color="auto"/>
              <w:right w:val="single" w:sz="4" w:space="0" w:color="auto"/>
            </w:tcBorders>
            <w:shd w:val="clear" w:color="auto" w:fill="auto"/>
            <w:noWrap/>
            <w:vAlign w:val="center"/>
            <w:hideMark/>
          </w:tcPr>
          <w:p w14:paraId="08124B6E" w14:textId="6ACF8665" w:rsidR="0028353D" w:rsidRPr="00E808A1" w:rsidRDefault="00657B1E" w:rsidP="00E808A1">
            <w:pPr>
              <w:spacing w:after="0" w:line="240" w:lineRule="auto"/>
              <w:jc w:val="center"/>
              <w:rPr>
                <w:rFonts w:cs="Arial"/>
                <w:sz w:val="20"/>
                <w:szCs w:val="20"/>
              </w:rPr>
            </w:pPr>
            <w:r w:rsidRPr="00E808A1">
              <w:rPr>
                <w:rFonts w:cs="Arial"/>
                <w:sz w:val="20"/>
                <w:szCs w:val="20"/>
              </w:rPr>
              <w:t>2000-5000</w:t>
            </w:r>
          </w:p>
        </w:tc>
        <w:tc>
          <w:tcPr>
            <w:tcW w:w="0" w:type="auto"/>
            <w:tcBorders>
              <w:top w:val="nil"/>
              <w:left w:val="nil"/>
              <w:bottom w:val="single" w:sz="4" w:space="0" w:color="auto"/>
              <w:right w:val="single" w:sz="4" w:space="0" w:color="auto"/>
            </w:tcBorders>
            <w:shd w:val="clear" w:color="auto" w:fill="auto"/>
            <w:noWrap/>
            <w:vAlign w:val="center"/>
            <w:hideMark/>
          </w:tcPr>
          <w:p w14:paraId="40E480A5" w14:textId="77777777" w:rsidR="0028353D" w:rsidRPr="00E808A1" w:rsidRDefault="0028353D" w:rsidP="00E808A1">
            <w:pPr>
              <w:spacing w:after="0" w:line="240" w:lineRule="auto"/>
              <w:jc w:val="center"/>
              <w:rPr>
                <w:rFonts w:cs="Arial"/>
                <w:sz w:val="20"/>
                <w:szCs w:val="20"/>
              </w:rPr>
            </w:pPr>
            <w:r w:rsidRPr="00E808A1">
              <w:rPr>
                <w:rFonts w:cs="Arial"/>
                <w:sz w:val="20"/>
                <w:szCs w:val="20"/>
              </w:rPr>
              <w:t>2 million</w:t>
            </w:r>
          </w:p>
        </w:tc>
        <w:tc>
          <w:tcPr>
            <w:tcW w:w="0" w:type="auto"/>
            <w:tcBorders>
              <w:top w:val="nil"/>
              <w:left w:val="nil"/>
              <w:bottom w:val="single" w:sz="4" w:space="0" w:color="auto"/>
              <w:right w:val="single" w:sz="4" w:space="0" w:color="auto"/>
            </w:tcBorders>
            <w:shd w:val="clear" w:color="auto" w:fill="auto"/>
            <w:noWrap/>
            <w:vAlign w:val="center"/>
            <w:hideMark/>
          </w:tcPr>
          <w:p w14:paraId="192810F0" w14:textId="77777777" w:rsidR="0028353D" w:rsidRPr="00E808A1" w:rsidRDefault="0028353D" w:rsidP="00E808A1">
            <w:pPr>
              <w:spacing w:after="0" w:line="240" w:lineRule="auto"/>
              <w:jc w:val="center"/>
              <w:rPr>
                <w:rFonts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311E763E" w14:textId="77777777" w:rsidR="0028353D" w:rsidRPr="00E808A1" w:rsidRDefault="0028353D" w:rsidP="00E808A1">
            <w:pPr>
              <w:spacing w:after="0" w:line="240" w:lineRule="auto"/>
              <w:jc w:val="center"/>
              <w:rPr>
                <w:rFonts w:cs="Arial"/>
                <w:sz w:val="20"/>
                <w:szCs w:val="20"/>
              </w:rPr>
            </w:pPr>
            <w:r w:rsidRPr="00E808A1">
              <w:rPr>
                <w:rFonts w:cs="Arial"/>
                <w:sz w:val="20"/>
                <w:szCs w:val="20"/>
              </w:rPr>
              <w:t>2-3 million</w:t>
            </w:r>
          </w:p>
        </w:tc>
      </w:tr>
      <w:tr w:rsidR="006827C0" w:rsidRPr="00E808A1" w14:paraId="3ED1493A" w14:textId="77777777" w:rsidTr="006827C0">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EDF6CD" w14:textId="77777777" w:rsidR="0028353D" w:rsidRPr="00E808A1" w:rsidRDefault="0028353D" w:rsidP="00E808A1">
            <w:pPr>
              <w:spacing w:after="0" w:line="240" w:lineRule="auto"/>
              <w:jc w:val="center"/>
              <w:rPr>
                <w:rFonts w:cs="Arial"/>
                <w:sz w:val="20"/>
                <w:szCs w:val="20"/>
              </w:rPr>
            </w:pPr>
            <w:r w:rsidRPr="00E808A1">
              <w:rPr>
                <w:rFonts w:cs="Arial"/>
                <w:sz w:val="20"/>
                <w:szCs w:val="20"/>
              </w:rPr>
              <w:t>GBM43</w:t>
            </w:r>
          </w:p>
        </w:tc>
        <w:tc>
          <w:tcPr>
            <w:tcW w:w="2745" w:type="dxa"/>
            <w:tcBorders>
              <w:top w:val="nil"/>
              <w:left w:val="nil"/>
              <w:bottom w:val="single" w:sz="4" w:space="0" w:color="auto"/>
              <w:right w:val="single" w:sz="4" w:space="0" w:color="auto"/>
            </w:tcBorders>
            <w:shd w:val="clear" w:color="auto" w:fill="auto"/>
            <w:noWrap/>
            <w:vAlign w:val="center"/>
            <w:hideMark/>
          </w:tcPr>
          <w:p w14:paraId="6B21F51B" w14:textId="52C40B29" w:rsidR="0028353D" w:rsidRPr="00E808A1" w:rsidRDefault="006827C0" w:rsidP="00E808A1">
            <w:pPr>
              <w:spacing w:after="0" w:line="240" w:lineRule="auto"/>
              <w:jc w:val="center"/>
              <w:rPr>
                <w:rFonts w:cs="Arial"/>
                <w:sz w:val="20"/>
                <w:szCs w:val="20"/>
              </w:rPr>
            </w:pPr>
            <w:r w:rsidRPr="00E808A1">
              <w:rPr>
                <w:rFonts w:cs="Arial"/>
                <w:sz w:val="20"/>
                <w:szCs w:val="20"/>
              </w:rPr>
              <w:t>2000-5000 (best in FBS)</w:t>
            </w:r>
          </w:p>
        </w:tc>
        <w:tc>
          <w:tcPr>
            <w:tcW w:w="1985" w:type="dxa"/>
            <w:tcBorders>
              <w:top w:val="nil"/>
              <w:left w:val="nil"/>
              <w:bottom w:val="single" w:sz="4" w:space="0" w:color="auto"/>
              <w:right w:val="single" w:sz="4" w:space="0" w:color="auto"/>
            </w:tcBorders>
            <w:shd w:val="clear" w:color="auto" w:fill="auto"/>
            <w:noWrap/>
            <w:vAlign w:val="center"/>
            <w:hideMark/>
          </w:tcPr>
          <w:p w14:paraId="10C4F676" w14:textId="29C58764" w:rsidR="0028353D" w:rsidRPr="00E808A1" w:rsidRDefault="00657B1E" w:rsidP="00E808A1">
            <w:pPr>
              <w:spacing w:after="0" w:line="240" w:lineRule="auto"/>
              <w:jc w:val="center"/>
              <w:rPr>
                <w:rFonts w:cs="Arial"/>
                <w:sz w:val="20"/>
                <w:szCs w:val="20"/>
              </w:rPr>
            </w:pPr>
            <w:r w:rsidRPr="00E808A1">
              <w:rPr>
                <w:rFonts w:cs="Arial"/>
                <w:sz w:val="20"/>
                <w:szCs w:val="20"/>
              </w:rPr>
              <w:t>2000-5000</w:t>
            </w:r>
          </w:p>
        </w:tc>
        <w:tc>
          <w:tcPr>
            <w:tcW w:w="0" w:type="auto"/>
            <w:tcBorders>
              <w:top w:val="nil"/>
              <w:left w:val="nil"/>
              <w:bottom w:val="single" w:sz="4" w:space="0" w:color="auto"/>
              <w:right w:val="single" w:sz="4" w:space="0" w:color="auto"/>
            </w:tcBorders>
            <w:shd w:val="clear" w:color="auto" w:fill="auto"/>
            <w:noWrap/>
            <w:vAlign w:val="center"/>
            <w:hideMark/>
          </w:tcPr>
          <w:p w14:paraId="6F2FC4D6" w14:textId="77777777" w:rsidR="0028353D" w:rsidRPr="00E808A1" w:rsidRDefault="0028353D" w:rsidP="00E808A1">
            <w:pPr>
              <w:spacing w:after="0" w:line="240" w:lineRule="auto"/>
              <w:jc w:val="center"/>
              <w:rPr>
                <w:rFonts w:cs="Arial"/>
                <w:sz w:val="20"/>
                <w:szCs w:val="20"/>
              </w:rPr>
            </w:pPr>
            <w:r w:rsidRPr="00E808A1">
              <w:rPr>
                <w:rFonts w:cs="Arial"/>
                <w:sz w:val="20"/>
                <w:szCs w:val="20"/>
              </w:rPr>
              <w:t>2 million</w:t>
            </w:r>
          </w:p>
        </w:tc>
        <w:tc>
          <w:tcPr>
            <w:tcW w:w="0" w:type="auto"/>
            <w:tcBorders>
              <w:top w:val="nil"/>
              <w:left w:val="nil"/>
              <w:bottom w:val="single" w:sz="4" w:space="0" w:color="auto"/>
              <w:right w:val="single" w:sz="4" w:space="0" w:color="auto"/>
            </w:tcBorders>
            <w:shd w:val="clear" w:color="auto" w:fill="auto"/>
            <w:noWrap/>
            <w:vAlign w:val="center"/>
            <w:hideMark/>
          </w:tcPr>
          <w:p w14:paraId="169F39E2" w14:textId="77777777" w:rsidR="0028353D" w:rsidRPr="00E808A1" w:rsidRDefault="0028353D" w:rsidP="00E808A1">
            <w:pPr>
              <w:spacing w:after="0" w:line="240" w:lineRule="auto"/>
              <w:jc w:val="center"/>
              <w:rPr>
                <w:rFonts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57C5B8E" w14:textId="77777777" w:rsidR="0028353D" w:rsidRPr="00E808A1" w:rsidRDefault="0028353D" w:rsidP="00E808A1">
            <w:pPr>
              <w:spacing w:after="0" w:line="240" w:lineRule="auto"/>
              <w:jc w:val="center"/>
              <w:rPr>
                <w:rFonts w:cs="Arial"/>
                <w:sz w:val="20"/>
                <w:szCs w:val="20"/>
              </w:rPr>
            </w:pPr>
            <w:r w:rsidRPr="00E808A1">
              <w:rPr>
                <w:rFonts w:cs="Arial"/>
                <w:sz w:val="20"/>
                <w:szCs w:val="20"/>
              </w:rPr>
              <w:t>2-3 million</w:t>
            </w:r>
          </w:p>
        </w:tc>
      </w:tr>
      <w:tr w:rsidR="006827C0" w:rsidRPr="00E808A1" w14:paraId="4E86DE25" w14:textId="77777777" w:rsidTr="006827C0">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F30C9C" w14:textId="77777777" w:rsidR="0028353D" w:rsidRPr="00E808A1" w:rsidRDefault="0028353D" w:rsidP="00E808A1">
            <w:pPr>
              <w:spacing w:after="0" w:line="240" w:lineRule="auto"/>
              <w:jc w:val="center"/>
              <w:rPr>
                <w:rFonts w:cs="Arial"/>
                <w:sz w:val="20"/>
                <w:szCs w:val="20"/>
              </w:rPr>
            </w:pPr>
            <w:r w:rsidRPr="00E808A1">
              <w:rPr>
                <w:rFonts w:cs="Arial"/>
                <w:sz w:val="20"/>
                <w:szCs w:val="20"/>
              </w:rPr>
              <w:t>GBM44</w:t>
            </w:r>
          </w:p>
        </w:tc>
        <w:tc>
          <w:tcPr>
            <w:tcW w:w="2745" w:type="dxa"/>
            <w:tcBorders>
              <w:top w:val="nil"/>
              <w:left w:val="nil"/>
              <w:bottom w:val="single" w:sz="4" w:space="0" w:color="auto"/>
              <w:right w:val="single" w:sz="4" w:space="0" w:color="auto"/>
            </w:tcBorders>
            <w:shd w:val="clear" w:color="auto" w:fill="auto"/>
            <w:noWrap/>
            <w:vAlign w:val="center"/>
            <w:hideMark/>
          </w:tcPr>
          <w:p w14:paraId="7037B501" w14:textId="6FE5C653" w:rsidR="0028353D" w:rsidRPr="00E808A1" w:rsidRDefault="006827C0" w:rsidP="00E808A1">
            <w:pPr>
              <w:spacing w:after="0" w:line="240" w:lineRule="auto"/>
              <w:jc w:val="center"/>
              <w:rPr>
                <w:rFonts w:cs="Arial"/>
                <w:sz w:val="20"/>
                <w:szCs w:val="20"/>
              </w:rPr>
            </w:pPr>
            <w:r w:rsidRPr="00E808A1">
              <w:rPr>
                <w:rFonts w:cs="Arial"/>
                <w:sz w:val="20"/>
                <w:szCs w:val="20"/>
              </w:rPr>
              <w:t>2000-5000</w:t>
            </w:r>
          </w:p>
        </w:tc>
        <w:tc>
          <w:tcPr>
            <w:tcW w:w="1985" w:type="dxa"/>
            <w:tcBorders>
              <w:top w:val="nil"/>
              <w:left w:val="nil"/>
              <w:bottom w:val="single" w:sz="4" w:space="0" w:color="auto"/>
              <w:right w:val="single" w:sz="4" w:space="0" w:color="auto"/>
            </w:tcBorders>
            <w:shd w:val="clear" w:color="auto" w:fill="auto"/>
            <w:noWrap/>
            <w:vAlign w:val="center"/>
            <w:hideMark/>
          </w:tcPr>
          <w:p w14:paraId="2427DCC7" w14:textId="6EE429BB" w:rsidR="0028353D" w:rsidRPr="00E808A1" w:rsidRDefault="00657B1E" w:rsidP="00E808A1">
            <w:pPr>
              <w:spacing w:after="0" w:line="240" w:lineRule="auto"/>
              <w:jc w:val="center"/>
              <w:rPr>
                <w:rFonts w:cs="Arial"/>
                <w:sz w:val="20"/>
                <w:szCs w:val="20"/>
              </w:rPr>
            </w:pPr>
            <w:r w:rsidRPr="00E808A1">
              <w:rPr>
                <w:rFonts w:cs="Arial"/>
                <w:sz w:val="20"/>
                <w:szCs w:val="20"/>
              </w:rPr>
              <w:t>2000-5000</w:t>
            </w:r>
          </w:p>
        </w:tc>
        <w:tc>
          <w:tcPr>
            <w:tcW w:w="0" w:type="auto"/>
            <w:tcBorders>
              <w:top w:val="nil"/>
              <w:left w:val="nil"/>
              <w:bottom w:val="single" w:sz="4" w:space="0" w:color="auto"/>
              <w:right w:val="single" w:sz="4" w:space="0" w:color="auto"/>
            </w:tcBorders>
            <w:shd w:val="clear" w:color="auto" w:fill="auto"/>
            <w:noWrap/>
            <w:vAlign w:val="center"/>
            <w:hideMark/>
          </w:tcPr>
          <w:p w14:paraId="284D8A0C" w14:textId="77777777" w:rsidR="0028353D" w:rsidRPr="00E808A1" w:rsidRDefault="0028353D" w:rsidP="00E808A1">
            <w:pPr>
              <w:spacing w:after="0" w:line="240" w:lineRule="auto"/>
              <w:jc w:val="center"/>
              <w:rPr>
                <w:rFonts w:cs="Arial"/>
                <w:sz w:val="20"/>
                <w:szCs w:val="20"/>
              </w:rPr>
            </w:pPr>
            <w:r w:rsidRPr="00E808A1">
              <w:rPr>
                <w:rFonts w:cs="Arial"/>
                <w:sz w:val="20"/>
                <w:szCs w:val="20"/>
              </w:rPr>
              <w:t>2 million</w:t>
            </w:r>
          </w:p>
        </w:tc>
        <w:tc>
          <w:tcPr>
            <w:tcW w:w="0" w:type="auto"/>
            <w:tcBorders>
              <w:top w:val="nil"/>
              <w:left w:val="nil"/>
              <w:bottom w:val="single" w:sz="4" w:space="0" w:color="auto"/>
              <w:right w:val="single" w:sz="4" w:space="0" w:color="auto"/>
            </w:tcBorders>
            <w:shd w:val="clear" w:color="auto" w:fill="auto"/>
            <w:noWrap/>
            <w:vAlign w:val="center"/>
            <w:hideMark/>
          </w:tcPr>
          <w:p w14:paraId="41B5BA56" w14:textId="77777777" w:rsidR="0028353D" w:rsidRPr="00E808A1" w:rsidRDefault="0028353D" w:rsidP="00E808A1">
            <w:pPr>
              <w:spacing w:after="0" w:line="240" w:lineRule="auto"/>
              <w:jc w:val="center"/>
              <w:rPr>
                <w:rFonts w:cs="Arial"/>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3BA561F" w14:textId="77777777" w:rsidR="0028353D" w:rsidRPr="00E808A1" w:rsidRDefault="0028353D" w:rsidP="00E808A1">
            <w:pPr>
              <w:spacing w:after="0" w:line="240" w:lineRule="auto"/>
              <w:jc w:val="center"/>
              <w:rPr>
                <w:rFonts w:cs="Arial"/>
                <w:sz w:val="20"/>
                <w:szCs w:val="20"/>
              </w:rPr>
            </w:pPr>
            <w:r w:rsidRPr="00E808A1">
              <w:rPr>
                <w:rFonts w:cs="Arial"/>
                <w:sz w:val="20"/>
                <w:szCs w:val="20"/>
              </w:rPr>
              <w:t>2-3 million</w:t>
            </w:r>
          </w:p>
        </w:tc>
      </w:tr>
      <w:tr w:rsidR="006827C0" w:rsidRPr="00E808A1" w14:paraId="645C797F" w14:textId="77777777" w:rsidTr="006827C0">
        <w:trPr>
          <w:trHeight w:val="2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50716" w14:textId="77777777" w:rsidR="0028353D" w:rsidRPr="00E808A1" w:rsidRDefault="0028353D" w:rsidP="00E808A1">
            <w:pPr>
              <w:spacing w:after="0" w:line="240" w:lineRule="auto"/>
              <w:jc w:val="center"/>
              <w:rPr>
                <w:rFonts w:cs="Arial"/>
                <w:sz w:val="20"/>
                <w:szCs w:val="20"/>
              </w:rPr>
            </w:pPr>
            <w:r w:rsidRPr="00E808A1">
              <w:rPr>
                <w:rFonts w:cs="Arial"/>
                <w:sz w:val="20"/>
                <w:szCs w:val="20"/>
              </w:rPr>
              <w:t>GBM108</w:t>
            </w:r>
          </w:p>
        </w:tc>
        <w:tc>
          <w:tcPr>
            <w:tcW w:w="2745" w:type="dxa"/>
            <w:tcBorders>
              <w:top w:val="single" w:sz="4" w:space="0" w:color="auto"/>
              <w:left w:val="nil"/>
              <w:bottom w:val="single" w:sz="4" w:space="0" w:color="auto"/>
              <w:right w:val="single" w:sz="4" w:space="0" w:color="auto"/>
            </w:tcBorders>
            <w:shd w:val="clear" w:color="auto" w:fill="auto"/>
            <w:noWrap/>
            <w:vAlign w:val="center"/>
            <w:hideMark/>
          </w:tcPr>
          <w:p w14:paraId="06EDA213" w14:textId="6F895DAB" w:rsidR="0028353D" w:rsidRPr="00E808A1" w:rsidRDefault="006827C0" w:rsidP="00E808A1">
            <w:pPr>
              <w:spacing w:after="0" w:line="240" w:lineRule="auto"/>
              <w:jc w:val="center"/>
              <w:rPr>
                <w:rFonts w:cs="Arial"/>
                <w:sz w:val="20"/>
                <w:szCs w:val="20"/>
              </w:rPr>
            </w:pPr>
            <w:r w:rsidRPr="00E808A1">
              <w:rPr>
                <w:rFonts w:cs="Arial"/>
                <w:sz w:val="20"/>
                <w:szCs w:val="20"/>
              </w:rPr>
              <w:t>2000-5000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56F6687" w14:textId="294C5AA4" w:rsidR="0028353D" w:rsidRPr="00E808A1" w:rsidRDefault="00657B1E" w:rsidP="00E808A1">
            <w:pPr>
              <w:spacing w:after="0" w:line="240" w:lineRule="auto"/>
              <w:jc w:val="center"/>
              <w:rPr>
                <w:rFonts w:cs="Arial"/>
                <w:sz w:val="20"/>
                <w:szCs w:val="20"/>
              </w:rPr>
            </w:pPr>
            <w:r w:rsidRPr="00E808A1">
              <w:rPr>
                <w:rFonts w:cs="Arial"/>
                <w:sz w:val="20"/>
                <w:szCs w:val="20"/>
              </w:rPr>
              <w:t>2000-5000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BD28A6" w14:textId="77777777" w:rsidR="0028353D" w:rsidRPr="00E808A1" w:rsidRDefault="0028353D" w:rsidP="00E808A1">
            <w:pPr>
              <w:spacing w:after="0" w:line="240" w:lineRule="auto"/>
              <w:jc w:val="center"/>
              <w:rPr>
                <w:rFonts w:cs="Arial"/>
                <w:sz w:val="20"/>
                <w:szCs w:val="20"/>
              </w:rPr>
            </w:pPr>
            <w:r w:rsidRPr="00E808A1">
              <w:rPr>
                <w:rFonts w:cs="Arial"/>
                <w:sz w:val="20"/>
                <w:szCs w:val="20"/>
              </w:rPr>
              <w:t>2 million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CD5FD0" w14:textId="77777777" w:rsidR="0028353D" w:rsidRPr="00E808A1" w:rsidRDefault="0028353D" w:rsidP="00E808A1">
            <w:pPr>
              <w:spacing w:after="0" w:line="240" w:lineRule="auto"/>
              <w:jc w:val="center"/>
              <w:rPr>
                <w:rFonts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DE1A3F9" w14:textId="77777777" w:rsidR="0028353D" w:rsidRPr="00E808A1" w:rsidRDefault="0028353D" w:rsidP="00E808A1">
            <w:pPr>
              <w:spacing w:after="0" w:line="240" w:lineRule="auto"/>
              <w:jc w:val="center"/>
              <w:rPr>
                <w:rFonts w:cs="Arial"/>
                <w:sz w:val="20"/>
                <w:szCs w:val="20"/>
              </w:rPr>
            </w:pPr>
            <w:r w:rsidRPr="00E808A1">
              <w:rPr>
                <w:rFonts w:cs="Arial"/>
                <w:sz w:val="20"/>
                <w:szCs w:val="20"/>
              </w:rPr>
              <w:t>2-3 million</w:t>
            </w:r>
          </w:p>
        </w:tc>
      </w:tr>
      <w:tr w:rsidR="006827C0" w:rsidRPr="00E808A1" w14:paraId="1E51CACE" w14:textId="77777777" w:rsidTr="006827C0">
        <w:trPr>
          <w:trHeight w:val="25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ADE882" w14:textId="77777777" w:rsidR="0028353D" w:rsidRPr="00E808A1" w:rsidRDefault="0028353D" w:rsidP="00E808A1">
            <w:pPr>
              <w:spacing w:after="0" w:line="240" w:lineRule="auto"/>
              <w:jc w:val="center"/>
              <w:rPr>
                <w:rFonts w:cs="Arial"/>
                <w:sz w:val="20"/>
                <w:szCs w:val="20"/>
              </w:rPr>
            </w:pPr>
            <w:r w:rsidRPr="00E808A1">
              <w:rPr>
                <w:rFonts w:cs="Arial"/>
                <w:sz w:val="20"/>
                <w:szCs w:val="20"/>
              </w:rPr>
              <w:t>U251</w:t>
            </w:r>
          </w:p>
        </w:tc>
        <w:tc>
          <w:tcPr>
            <w:tcW w:w="274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BDA83C" w14:textId="77777777" w:rsidR="0028353D" w:rsidRPr="00E808A1" w:rsidRDefault="0028353D" w:rsidP="00E808A1">
            <w:pPr>
              <w:spacing w:after="0" w:line="240" w:lineRule="auto"/>
              <w:jc w:val="center"/>
              <w:rPr>
                <w:rFonts w:cs="Arial"/>
                <w:sz w:val="20"/>
                <w:szCs w:val="20"/>
              </w:rPr>
            </w:pPr>
            <w:r w:rsidRPr="00E808A1">
              <w:rPr>
                <w:rFonts w:cs="Arial"/>
                <w:sz w:val="20"/>
                <w:szCs w:val="20"/>
              </w:rPr>
              <w:t>1000</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2EBB394" w14:textId="77777777" w:rsidR="0028353D" w:rsidRPr="00E808A1" w:rsidRDefault="0028353D" w:rsidP="00E808A1">
            <w:pPr>
              <w:spacing w:after="0" w:line="240" w:lineRule="auto"/>
              <w:jc w:val="center"/>
              <w:rPr>
                <w:rFonts w:cs="Arial"/>
                <w:sz w:val="20"/>
                <w:szCs w:val="20"/>
              </w:rPr>
            </w:pPr>
            <w:r w:rsidRPr="00E808A1">
              <w:rPr>
                <w:rFonts w:cs="Arial"/>
                <w:sz w:val="20"/>
                <w:szCs w:val="20"/>
              </w:rPr>
              <w:t>1000</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550DEF" w14:textId="77777777" w:rsidR="0028353D" w:rsidRPr="00E808A1" w:rsidRDefault="0028353D" w:rsidP="00E808A1">
            <w:pPr>
              <w:spacing w:after="0" w:line="240" w:lineRule="auto"/>
              <w:jc w:val="center"/>
              <w:rPr>
                <w:rFonts w:cs="Arial"/>
                <w:sz w:val="20"/>
                <w:szCs w:val="20"/>
              </w:rPr>
            </w:pPr>
            <w:r w:rsidRPr="00E808A1">
              <w:rPr>
                <w:rFonts w:cs="Arial"/>
                <w:sz w:val="20"/>
                <w:szCs w:val="20"/>
              </w:rPr>
              <w:t>500,000</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044324" w14:textId="77777777" w:rsidR="0028353D" w:rsidRPr="00E808A1" w:rsidRDefault="0028353D" w:rsidP="00E808A1">
            <w:pPr>
              <w:spacing w:after="0" w:line="240" w:lineRule="auto"/>
              <w:jc w:val="center"/>
              <w:rPr>
                <w:rFonts w:cs="Arial"/>
                <w:sz w:val="20"/>
                <w:szCs w:val="20"/>
              </w:rPr>
            </w:pPr>
            <w:r w:rsidRPr="00E808A1">
              <w:rPr>
                <w:rFonts w:cs="Arial"/>
                <w:sz w:val="20"/>
                <w:szCs w:val="20"/>
              </w:rPr>
              <w:t>200,000</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90BA8E" w14:textId="77777777" w:rsidR="0028353D" w:rsidRPr="00E808A1" w:rsidRDefault="0028353D" w:rsidP="00E808A1">
            <w:pPr>
              <w:spacing w:after="0" w:line="240" w:lineRule="auto"/>
              <w:jc w:val="center"/>
              <w:rPr>
                <w:rFonts w:cs="Arial"/>
                <w:sz w:val="20"/>
                <w:szCs w:val="20"/>
              </w:rPr>
            </w:pPr>
            <w:r w:rsidRPr="00E808A1">
              <w:rPr>
                <w:rFonts w:cs="Arial"/>
                <w:sz w:val="20"/>
                <w:szCs w:val="20"/>
              </w:rPr>
              <w:t>2 million</w:t>
            </w:r>
          </w:p>
        </w:tc>
      </w:tr>
    </w:tbl>
    <w:p w14:paraId="5A98D436" w14:textId="77777777" w:rsidR="0028353D" w:rsidRPr="00E808A1" w:rsidRDefault="00314CD4" w:rsidP="00E808A1">
      <w:pPr>
        <w:spacing w:after="0" w:line="240" w:lineRule="auto"/>
        <w:rPr>
          <w:rFonts w:cs="Arial"/>
          <w:sz w:val="16"/>
          <w:szCs w:val="16"/>
        </w:rPr>
      </w:pPr>
      <w:r w:rsidRPr="00E808A1">
        <w:rPr>
          <w:rFonts w:cs="Arial"/>
          <w:sz w:val="16"/>
          <w:szCs w:val="16"/>
        </w:rPr>
        <w:t>*</w:t>
      </w:r>
      <w:r w:rsidR="00D5675C" w:rsidRPr="00E808A1">
        <w:rPr>
          <w:rFonts w:cs="Arial"/>
          <w:sz w:val="16"/>
          <w:szCs w:val="16"/>
        </w:rPr>
        <w:t>G12 cells are plated in stem cell media on laminin-coated coverslips for immunofluorescence</w:t>
      </w:r>
    </w:p>
    <w:p w14:paraId="34120DE2" w14:textId="77777777" w:rsidR="0028353D" w:rsidRPr="00E808A1" w:rsidRDefault="0028353D" w:rsidP="00E808A1">
      <w:pPr>
        <w:spacing w:after="0" w:line="240" w:lineRule="auto"/>
        <w:rPr>
          <w:rFonts w:cs="Arial"/>
          <w:bCs/>
          <w:sz w:val="20"/>
          <w:szCs w:val="20"/>
        </w:rPr>
      </w:pPr>
    </w:p>
    <w:p w14:paraId="1CE36873" w14:textId="02FA269D" w:rsidR="00157F74" w:rsidRPr="00E808A1" w:rsidRDefault="005A62CF" w:rsidP="00E808A1">
      <w:pPr>
        <w:spacing w:after="0" w:line="240" w:lineRule="auto"/>
        <w:rPr>
          <w:rFonts w:cs="Arial"/>
          <w:b/>
        </w:rPr>
      </w:pPr>
      <w:r w:rsidRPr="00E808A1">
        <w:rPr>
          <w:rFonts w:cs="Arial"/>
          <w:b/>
          <w:u w:val="single"/>
        </w:rPr>
        <w:t>Materials for STEM CELL CULTURES:</w:t>
      </w:r>
    </w:p>
    <w:p w14:paraId="60E790FC" w14:textId="51A812DA" w:rsidR="005A62CF" w:rsidRPr="00E808A1" w:rsidRDefault="005A62CF" w:rsidP="00E808A1">
      <w:pPr>
        <w:pStyle w:val="ListParagraph"/>
        <w:numPr>
          <w:ilvl w:val="0"/>
          <w:numId w:val="21"/>
        </w:numPr>
        <w:spacing w:after="0" w:line="240" w:lineRule="auto"/>
        <w:rPr>
          <w:rFonts w:cs="Arial"/>
          <w:sz w:val="20"/>
          <w:szCs w:val="20"/>
        </w:rPr>
      </w:pPr>
      <w:r w:rsidRPr="00E808A1">
        <w:rPr>
          <w:rFonts w:cs="Arial"/>
          <w:sz w:val="20"/>
          <w:szCs w:val="20"/>
        </w:rPr>
        <w:t>Stem cell media (StemPro NSC SFM kit: ThermoFisher Scientific #A1050901; subsequently referred to as SCM).</w:t>
      </w:r>
    </w:p>
    <w:p w14:paraId="2EB20883" w14:textId="77777777" w:rsidR="005A62CF" w:rsidRPr="00E808A1" w:rsidRDefault="005A62CF" w:rsidP="00E808A1">
      <w:pPr>
        <w:pStyle w:val="ListParagraph"/>
        <w:numPr>
          <w:ilvl w:val="1"/>
          <w:numId w:val="16"/>
        </w:numPr>
        <w:spacing w:after="0" w:line="240" w:lineRule="auto"/>
        <w:rPr>
          <w:rFonts w:cs="Arial"/>
          <w:sz w:val="20"/>
          <w:szCs w:val="20"/>
        </w:rPr>
      </w:pPr>
      <w:r w:rsidRPr="00E808A1">
        <w:rPr>
          <w:rFonts w:cs="Arial"/>
          <w:sz w:val="20"/>
          <w:szCs w:val="20"/>
        </w:rPr>
        <w:t>To make 500ml, use the following kit components plus L-glutamine and Pen-Strep solution as follows and filter sterilize:</w:t>
      </w:r>
    </w:p>
    <w:p w14:paraId="7EFD51D1" w14:textId="77777777" w:rsidR="005A62CF" w:rsidRPr="00E808A1" w:rsidRDefault="005A62CF" w:rsidP="00E808A1">
      <w:pPr>
        <w:pStyle w:val="ListParagraph"/>
        <w:numPr>
          <w:ilvl w:val="2"/>
          <w:numId w:val="16"/>
        </w:numPr>
        <w:spacing w:after="0" w:line="240" w:lineRule="auto"/>
        <w:rPr>
          <w:rFonts w:cs="Arial"/>
          <w:sz w:val="20"/>
          <w:szCs w:val="20"/>
        </w:rPr>
      </w:pPr>
      <w:r w:rsidRPr="00E808A1">
        <w:rPr>
          <w:rFonts w:cs="Arial"/>
          <w:sz w:val="20"/>
          <w:szCs w:val="20"/>
        </w:rPr>
        <w:t>KnockOut DMEM/F-12 Basal Media - 500ml</w:t>
      </w:r>
    </w:p>
    <w:p w14:paraId="5738C306" w14:textId="77777777" w:rsidR="005A62CF" w:rsidRPr="00E808A1" w:rsidRDefault="005A62CF" w:rsidP="00E808A1">
      <w:pPr>
        <w:pStyle w:val="ListParagraph"/>
        <w:numPr>
          <w:ilvl w:val="2"/>
          <w:numId w:val="16"/>
        </w:numPr>
        <w:spacing w:after="0" w:line="240" w:lineRule="auto"/>
        <w:rPr>
          <w:rFonts w:cs="Arial"/>
          <w:sz w:val="20"/>
          <w:szCs w:val="20"/>
        </w:rPr>
      </w:pPr>
      <w:r w:rsidRPr="00E808A1">
        <w:rPr>
          <w:rFonts w:cs="Arial"/>
          <w:sz w:val="20"/>
          <w:szCs w:val="20"/>
        </w:rPr>
        <w:t>StemPro NSC SFM Supplement - 10ml</w:t>
      </w:r>
    </w:p>
    <w:p w14:paraId="379EA003" w14:textId="77777777" w:rsidR="005A62CF" w:rsidRPr="00E808A1" w:rsidRDefault="005A62CF" w:rsidP="00E808A1">
      <w:pPr>
        <w:pStyle w:val="ListParagraph"/>
        <w:numPr>
          <w:ilvl w:val="2"/>
          <w:numId w:val="16"/>
        </w:numPr>
        <w:spacing w:after="0" w:line="240" w:lineRule="auto"/>
        <w:rPr>
          <w:rFonts w:cs="Arial"/>
          <w:sz w:val="20"/>
          <w:szCs w:val="20"/>
        </w:rPr>
      </w:pPr>
      <w:r w:rsidRPr="00E808A1">
        <w:rPr>
          <w:rFonts w:cs="Arial"/>
          <w:sz w:val="20"/>
          <w:szCs w:val="20"/>
        </w:rPr>
        <w:t>FGF Basic Recombinant Human - 10ug</w:t>
      </w:r>
    </w:p>
    <w:p w14:paraId="5B6D5CF8" w14:textId="77777777" w:rsidR="005A62CF" w:rsidRPr="00E808A1" w:rsidRDefault="005A62CF" w:rsidP="00E808A1">
      <w:pPr>
        <w:pStyle w:val="ListParagraph"/>
        <w:numPr>
          <w:ilvl w:val="2"/>
          <w:numId w:val="16"/>
        </w:numPr>
        <w:spacing w:after="0" w:line="240" w:lineRule="auto"/>
        <w:rPr>
          <w:rFonts w:cs="Arial"/>
          <w:sz w:val="20"/>
          <w:szCs w:val="20"/>
        </w:rPr>
      </w:pPr>
      <w:r w:rsidRPr="00E808A1">
        <w:rPr>
          <w:rFonts w:cs="Arial"/>
          <w:sz w:val="20"/>
          <w:szCs w:val="20"/>
        </w:rPr>
        <w:t>EGF Recombinant Human - 10ug</w:t>
      </w:r>
    </w:p>
    <w:p w14:paraId="0D9473AF" w14:textId="77777777" w:rsidR="005A62CF" w:rsidRPr="00E808A1" w:rsidRDefault="005A62CF" w:rsidP="00E808A1">
      <w:pPr>
        <w:pStyle w:val="ListParagraph"/>
        <w:numPr>
          <w:ilvl w:val="2"/>
          <w:numId w:val="16"/>
        </w:numPr>
        <w:spacing w:after="0" w:line="240" w:lineRule="auto"/>
        <w:rPr>
          <w:rFonts w:cs="Arial"/>
          <w:sz w:val="20"/>
          <w:szCs w:val="20"/>
        </w:rPr>
      </w:pPr>
      <w:r w:rsidRPr="00E808A1">
        <w:rPr>
          <w:rFonts w:cs="Arial"/>
          <w:sz w:val="20"/>
          <w:szCs w:val="20"/>
          <w:u w:val="single"/>
        </w:rPr>
        <w:t>Reagents not included in the kit</w:t>
      </w:r>
      <w:r w:rsidRPr="00E808A1">
        <w:rPr>
          <w:rFonts w:cs="Arial"/>
          <w:sz w:val="20"/>
          <w:szCs w:val="20"/>
        </w:rPr>
        <w:t>:</w:t>
      </w:r>
    </w:p>
    <w:p w14:paraId="1326AF08" w14:textId="77777777" w:rsidR="005A62CF" w:rsidRPr="00E808A1" w:rsidRDefault="005A62CF" w:rsidP="00E808A1">
      <w:pPr>
        <w:pStyle w:val="ListParagraph"/>
        <w:numPr>
          <w:ilvl w:val="3"/>
          <w:numId w:val="16"/>
        </w:numPr>
        <w:spacing w:after="0" w:line="240" w:lineRule="auto"/>
        <w:rPr>
          <w:rFonts w:cs="Arial"/>
          <w:sz w:val="20"/>
          <w:szCs w:val="20"/>
        </w:rPr>
      </w:pPr>
      <w:r w:rsidRPr="00E808A1">
        <w:rPr>
          <w:rFonts w:cs="Arial"/>
          <w:sz w:val="20"/>
          <w:szCs w:val="20"/>
        </w:rPr>
        <w:t>L-glutamine (Corning #25005CI) 10ml of 200mM solution</w:t>
      </w:r>
    </w:p>
    <w:p w14:paraId="4E15910F" w14:textId="77777777" w:rsidR="005A62CF" w:rsidRPr="00E808A1" w:rsidRDefault="005A62CF" w:rsidP="00E808A1">
      <w:pPr>
        <w:pStyle w:val="ListParagraph"/>
        <w:numPr>
          <w:ilvl w:val="3"/>
          <w:numId w:val="16"/>
        </w:numPr>
        <w:spacing w:after="0" w:line="240" w:lineRule="auto"/>
        <w:rPr>
          <w:rFonts w:cs="Arial"/>
          <w:sz w:val="20"/>
          <w:szCs w:val="20"/>
        </w:rPr>
      </w:pPr>
      <w:r w:rsidRPr="00E808A1">
        <w:rPr>
          <w:rFonts w:cs="Arial"/>
          <w:sz w:val="20"/>
          <w:szCs w:val="20"/>
        </w:rPr>
        <w:t>Penicillin/Streptomycin (Corning #30001CI; 5000 I.U./mL Pen, 5000 ug/mL strep) 5ml</w:t>
      </w:r>
    </w:p>
    <w:p w14:paraId="2C6ACD68" w14:textId="77777777" w:rsidR="005A62CF" w:rsidRPr="00E808A1" w:rsidRDefault="005A62CF" w:rsidP="00E808A1">
      <w:pPr>
        <w:pStyle w:val="ListParagraph"/>
        <w:numPr>
          <w:ilvl w:val="0"/>
          <w:numId w:val="17"/>
        </w:numPr>
        <w:spacing w:after="0" w:line="240" w:lineRule="auto"/>
        <w:rPr>
          <w:rFonts w:cs="Arial"/>
          <w:sz w:val="20"/>
          <w:szCs w:val="20"/>
        </w:rPr>
      </w:pPr>
      <w:r w:rsidRPr="00E808A1">
        <w:rPr>
          <w:rFonts w:cs="Arial"/>
          <w:sz w:val="20"/>
          <w:szCs w:val="20"/>
        </w:rPr>
        <w:t>Laminin (Sigma #L2020-1MG) for coating vessels</w:t>
      </w:r>
    </w:p>
    <w:p w14:paraId="1856EA45" w14:textId="77777777" w:rsidR="005A62CF" w:rsidRPr="00E808A1" w:rsidRDefault="005A62CF" w:rsidP="00E808A1">
      <w:pPr>
        <w:spacing w:after="0" w:line="240" w:lineRule="auto"/>
        <w:rPr>
          <w:rFonts w:cs="Arial"/>
          <w:sz w:val="20"/>
          <w:szCs w:val="20"/>
        </w:rPr>
      </w:pPr>
    </w:p>
    <w:p w14:paraId="59662A96" w14:textId="77777777" w:rsidR="005A62CF" w:rsidRPr="00E808A1" w:rsidRDefault="005A62CF" w:rsidP="00E808A1">
      <w:pPr>
        <w:spacing w:after="0" w:line="240" w:lineRule="auto"/>
        <w:rPr>
          <w:rFonts w:cs="Arial"/>
          <w:b/>
          <w:u w:val="single"/>
        </w:rPr>
      </w:pPr>
      <w:r w:rsidRPr="00E808A1">
        <w:rPr>
          <w:rFonts w:cs="Arial"/>
          <w:b/>
          <w:u w:val="single"/>
        </w:rPr>
        <w:t>Materials for FBS CELL CULTURES:</w:t>
      </w:r>
    </w:p>
    <w:p w14:paraId="3F7CAE4F" w14:textId="37E8096B" w:rsidR="005A62CF" w:rsidRPr="00E808A1" w:rsidRDefault="005A62CF" w:rsidP="00E808A1">
      <w:pPr>
        <w:pStyle w:val="ListParagraph"/>
        <w:numPr>
          <w:ilvl w:val="0"/>
          <w:numId w:val="18"/>
        </w:numPr>
        <w:spacing w:after="0" w:line="240" w:lineRule="auto"/>
        <w:rPr>
          <w:rFonts w:cs="Arial"/>
          <w:sz w:val="20"/>
          <w:szCs w:val="20"/>
        </w:rPr>
      </w:pPr>
      <w:r w:rsidRPr="00E808A1">
        <w:rPr>
          <w:rFonts w:cs="Arial"/>
          <w:sz w:val="20"/>
          <w:szCs w:val="20"/>
        </w:rPr>
        <w:t xml:space="preserve">DMEM medias (Corning #10-013-CV): (1) with FBS supplementation at 2.5% </w:t>
      </w:r>
      <w:r w:rsidRPr="00E808A1">
        <w:rPr>
          <w:rFonts w:cs="Arial"/>
          <w:b/>
          <w:sz w:val="20"/>
          <w:szCs w:val="20"/>
          <w:u w:val="single"/>
        </w:rPr>
        <w:t>and</w:t>
      </w:r>
      <w:r w:rsidRPr="00E808A1">
        <w:rPr>
          <w:rFonts w:cs="Arial"/>
          <w:sz w:val="20"/>
          <w:szCs w:val="20"/>
        </w:rPr>
        <w:t xml:space="preserve"> (1) with FBS supplementation at 10%; subsequently referred to as 2.5% and 10% DMEM.</w:t>
      </w:r>
    </w:p>
    <w:p w14:paraId="2D37E32B" w14:textId="77777777" w:rsidR="005A62CF" w:rsidRPr="00E808A1" w:rsidRDefault="005A62CF" w:rsidP="00E808A1">
      <w:pPr>
        <w:pStyle w:val="ListParagraph"/>
        <w:numPr>
          <w:ilvl w:val="1"/>
          <w:numId w:val="18"/>
        </w:numPr>
        <w:spacing w:after="0" w:line="240" w:lineRule="auto"/>
        <w:rPr>
          <w:rFonts w:cs="Arial"/>
          <w:sz w:val="20"/>
          <w:szCs w:val="20"/>
        </w:rPr>
      </w:pPr>
      <w:r w:rsidRPr="00E808A1">
        <w:rPr>
          <w:rFonts w:cs="Arial"/>
          <w:sz w:val="20"/>
          <w:szCs w:val="20"/>
        </w:rPr>
        <w:t>To make 500ml, supplement the DMEM as follows and filter sterilize:</w:t>
      </w:r>
    </w:p>
    <w:p w14:paraId="5412B3A0" w14:textId="77777777" w:rsidR="005A62CF" w:rsidRPr="00E808A1" w:rsidRDefault="005A62CF" w:rsidP="00E808A1">
      <w:pPr>
        <w:pStyle w:val="ListParagraph"/>
        <w:numPr>
          <w:ilvl w:val="2"/>
          <w:numId w:val="18"/>
        </w:numPr>
        <w:spacing w:after="0" w:line="240" w:lineRule="auto"/>
        <w:rPr>
          <w:rFonts w:cs="Arial"/>
          <w:sz w:val="20"/>
          <w:szCs w:val="20"/>
        </w:rPr>
      </w:pPr>
      <w:r w:rsidRPr="00E808A1">
        <w:rPr>
          <w:rFonts w:cs="Arial"/>
          <w:sz w:val="20"/>
          <w:szCs w:val="20"/>
        </w:rPr>
        <w:t>Fetal Bovine Serum (FBS) Premium (Atlanta Biologicals #S11150)</w:t>
      </w:r>
    </w:p>
    <w:p w14:paraId="6C81D425" w14:textId="77777777" w:rsidR="005A62CF" w:rsidRPr="00E808A1" w:rsidRDefault="005A62CF" w:rsidP="00E808A1">
      <w:pPr>
        <w:pStyle w:val="ListParagraph"/>
        <w:numPr>
          <w:ilvl w:val="3"/>
          <w:numId w:val="18"/>
        </w:numPr>
        <w:spacing w:after="0" w:line="240" w:lineRule="auto"/>
        <w:rPr>
          <w:rFonts w:cs="Arial"/>
          <w:sz w:val="20"/>
          <w:szCs w:val="20"/>
        </w:rPr>
      </w:pPr>
      <w:r w:rsidRPr="00E808A1">
        <w:rPr>
          <w:rFonts w:cs="Arial"/>
          <w:sz w:val="20"/>
          <w:szCs w:val="20"/>
        </w:rPr>
        <w:t>50ml = [Final FBS] 10%</w:t>
      </w:r>
    </w:p>
    <w:p w14:paraId="4BB4732C" w14:textId="77777777" w:rsidR="005A62CF" w:rsidRPr="00E808A1" w:rsidRDefault="005A62CF" w:rsidP="00E808A1">
      <w:pPr>
        <w:pStyle w:val="ListParagraph"/>
        <w:numPr>
          <w:ilvl w:val="3"/>
          <w:numId w:val="18"/>
        </w:numPr>
        <w:spacing w:after="0" w:line="240" w:lineRule="auto"/>
        <w:rPr>
          <w:rFonts w:cs="Arial"/>
          <w:sz w:val="20"/>
          <w:szCs w:val="20"/>
        </w:rPr>
      </w:pPr>
      <w:r w:rsidRPr="00E808A1">
        <w:rPr>
          <w:rFonts w:cs="Arial"/>
          <w:sz w:val="20"/>
          <w:szCs w:val="20"/>
        </w:rPr>
        <w:t>12.5ml = [Final FBS] 2.5%</w:t>
      </w:r>
    </w:p>
    <w:p w14:paraId="64B32FD5" w14:textId="77777777" w:rsidR="005A62CF" w:rsidRPr="00E808A1" w:rsidRDefault="005A62CF" w:rsidP="00E808A1">
      <w:pPr>
        <w:pStyle w:val="ListParagraph"/>
        <w:numPr>
          <w:ilvl w:val="2"/>
          <w:numId w:val="18"/>
        </w:numPr>
        <w:spacing w:after="0" w:line="240" w:lineRule="auto"/>
        <w:rPr>
          <w:rFonts w:cs="Arial"/>
          <w:sz w:val="20"/>
          <w:szCs w:val="20"/>
        </w:rPr>
      </w:pPr>
      <w:r w:rsidRPr="00E808A1">
        <w:rPr>
          <w:rFonts w:cs="Arial"/>
          <w:sz w:val="20"/>
          <w:szCs w:val="20"/>
        </w:rPr>
        <w:t>Penicillin/Streptomycin (Corning #30001CI; 5000 I.U./mL Pen, 5000 ug/mL strep) – 5ml</w:t>
      </w:r>
    </w:p>
    <w:p w14:paraId="493ED7D8" w14:textId="77777777" w:rsidR="005A62CF" w:rsidRPr="00E808A1" w:rsidRDefault="005A62CF" w:rsidP="00E808A1">
      <w:pPr>
        <w:pStyle w:val="ListParagraph"/>
        <w:numPr>
          <w:ilvl w:val="3"/>
          <w:numId w:val="18"/>
        </w:numPr>
        <w:spacing w:after="0" w:line="240" w:lineRule="auto"/>
        <w:rPr>
          <w:rFonts w:cs="Arial"/>
          <w:sz w:val="20"/>
          <w:szCs w:val="20"/>
        </w:rPr>
      </w:pPr>
      <w:r w:rsidRPr="00E808A1">
        <w:rPr>
          <w:rFonts w:cs="Arial"/>
          <w:sz w:val="20"/>
          <w:szCs w:val="20"/>
        </w:rPr>
        <w:t>[Final] = 1% P/S</w:t>
      </w:r>
    </w:p>
    <w:p w14:paraId="0AEB4EAA" w14:textId="77777777" w:rsidR="005A62CF" w:rsidRPr="00E808A1" w:rsidRDefault="005A62CF" w:rsidP="00E808A1">
      <w:pPr>
        <w:pStyle w:val="ListParagraph"/>
        <w:numPr>
          <w:ilvl w:val="0"/>
          <w:numId w:val="18"/>
        </w:numPr>
        <w:spacing w:after="0" w:line="240" w:lineRule="auto"/>
        <w:rPr>
          <w:rFonts w:cs="Arial"/>
          <w:sz w:val="20"/>
          <w:szCs w:val="20"/>
        </w:rPr>
      </w:pPr>
      <w:r w:rsidRPr="00E808A1">
        <w:rPr>
          <w:rFonts w:cs="Arial"/>
          <w:sz w:val="20"/>
          <w:szCs w:val="20"/>
        </w:rPr>
        <w:t>500 ml sterile filters (Nalgene: Thermo Scientific #156-4020)</w:t>
      </w:r>
    </w:p>
    <w:p w14:paraId="00359765" w14:textId="77777777" w:rsidR="005A62CF" w:rsidRPr="00E808A1" w:rsidRDefault="005A62CF" w:rsidP="00E808A1">
      <w:pPr>
        <w:pStyle w:val="ListParagraph"/>
        <w:numPr>
          <w:ilvl w:val="0"/>
          <w:numId w:val="17"/>
        </w:numPr>
        <w:spacing w:after="0" w:line="240" w:lineRule="auto"/>
        <w:rPr>
          <w:rFonts w:cs="Arial"/>
          <w:sz w:val="20"/>
          <w:szCs w:val="20"/>
        </w:rPr>
      </w:pPr>
      <w:r w:rsidRPr="00E808A1">
        <w:rPr>
          <w:rFonts w:cs="Arial"/>
          <w:sz w:val="20"/>
          <w:szCs w:val="20"/>
        </w:rPr>
        <w:t>Corning™ Matrigel™ GFR Membrane Matrix (Corning #354230; subsequently referred to as Matrigel through the remainder of the protocol) for coating vessels</w:t>
      </w:r>
    </w:p>
    <w:p w14:paraId="22FDA3AF" w14:textId="77777777" w:rsidR="005A62CF" w:rsidRPr="00E808A1" w:rsidRDefault="005A62CF" w:rsidP="00E808A1">
      <w:pPr>
        <w:spacing w:after="0" w:line="240" w:lineRule="auto"/>
        <w:rPr>
          <w:rFonts w:cs="Arial"/>
          <w:bCs/>
          <w:sz w:val="20"/>
          <w:szCs w:val="20"/>
        </w:rPr>
      </w:pPr>
    </w:p>
    <w:p w14:paraId="176400B5" w14:textId="77777777" w:rsidR="005A62CF" w:rsidRPr="00E808A1" w:rsidRDefault="005A62CF" w:rsidP="00E808A1">
      <w:pPr>
        <w:spacing w:after="0" w:line="240" w:lineRule="auto"/>
        <w:rPr>
          <w:rFonts w:cs="Arial"/>
        </w:rPr>
      </w:pPr>
      <w:r w:rsidRPr="00E808A1">
        <w:rPr>
          <w:rFonts w:cs="Arial"/>
          <w:b/>
          <w:u w:val="single"/>
        </w:rPr>
        <w:t>Harvest</w:t>
      </w:r>
    </w:p>
    <w:p w14:paraId="727BCC2F" w14:textId="50F50C00" w:rsidR="005A62CF" w:rsidRPr="00E808A1" w:rsidRDefault="005A62CF" w:rsidP="00E808A1">
      <w:pPr>
        <w:pStyle w:val="ListParagraph"/>
        <w:numPr>
          <w:ilvl w:val="0"/>
          <w:numId w:val="20"/>
        </w:numPr>
        <w:spacing w:after="0" w:line="240" w:lineRule="auto"/>
        <w:rPr>
          <w:rFonts w:cs="Arial"/>
          <w:sz w:val="20"/>
          <w:szCs w:val="20"/>
        </w:rPr>
      </w:pPr>
      <w:r w:rsidRPr="00E808A1">
        <w:rPr>
          <w:rFonts w:cs="Arial"/>
          <w:sz w:val="20"/>
          <w:szCs w:val="20"/>
        </w:rPr>
        <w:t xml:space="preserve">Cultures taken directly from the flank tumor (refer to protocol on </w:t>
      </w:r>
      <w:r w:rsidR="004948D3" w:rsidRPr="00E808A1">
        <w:rPr>
          <w:rFonts w:cs="Arial"/>
          <w:sz w:val="20"/>
          <w:szCs w:val="20"/>
        </w:rPr>
        <w:t>Cell Harvest from Flank Tumor</w:t>
      </w:r>
      <w:r w:rsidRPr="00E808A1">
        <w:rPr>
          <w:rFonts w:cs="Arial"/>
          <w:sz w:val="20"/>
          <w:szCs w:val="20"/>
        </w:rPr>
        <w:t xml:space="preserve">) will initially contain tumor fragments and mouse cells. Maintain </w:t>
      </w:r>
      <w:r w:rsidR="00802A91" w:rsidRPr="00E808A1">
        <w:rPr>
          <w:rFonts w:cs="Arial"/>
          <w:sz w:val="20"/>
          <w:szCs w:val="20"/>
        </w:rPr>
        <w:t>these cultures</w:t>
      </w:r>
      <w:r w:rsidRPr="00E808A1">
        <w:rPr>
          <w:rFonts w:cs="Arial"/>
          <w:sz w:val="20"/>
          <w:szCs w:val="20"/>
        </w:rPr>
        <w:t xml:space="preserve"> in an incubator at 37°C and 5% CO</w:t>
      </w:r>
      <w:r w:rsidRPr="00E808A1">
        <w:rPr>
          <w:rFonts w:cs="Arial"/>
          <w:sz w:val="20"/>
          <w:szCs w:val="20"/>
          <w:vertAlign w:val="subscript"/>
        </w:rPr>
        <w:t>2</w:t>
      </w:r>
      <w:r w:rsidRPr="00E808A1">
        <w:rPr>
          <w:rFonts w:cs="Arial"/>
          <w:sz w:val="20"/>
          <w:szCs w:val="20"/>
        </w:rPr>
        <w:t>.</w:t>
      </w:r>
    </w:p>
    <w:p w14:paraId="12551C44" w14:textId="77777777" w:rsidR="005A62CF" w:rsidRPr="00E808A1" w:rsidRDefault="005A62CF" w:rsidP="00E808A1">
      <w:pPr>
        <w:pStyle w:val="ListParagraph"/>
        <w:numPr>
          <w:ilvl w:val="0"/>
          <w:numId w:val="20"/>
        </w:numPr>
        <w:spacing w:after="0" w:line="240" w:lineRule="auto"/>
        <w:rPr>
          <w:rFonts w:cs="Arial"/>
          <w:sz w:val="20"/>
          <w:szCs w:val="20"/>
        </w:rPr>
      </w:pPr>
      <w:r w:rsidRPr="00E808A1">
        <w:rPr>
          <w:rFonts w:cs="Arial"/>
          <w:sz w:val="20"/>
          <w:szCs w:val="20"/>
        </w:rPr>
        <w:t>Check the flasks daily until the cells have adhered to the plates.</w:t>
      </w:r>
    </w:p>
    <w:p w14:paraId="662A1379" w14:textId="63DA499E" w:rsidR="005A62CF" w:rsidRPr="00E808A1" w:rsidRDefault="005A62CF" w:rsidP="00E808A1">
      <w:pPr>
        <w:pStyle w:val="ListParagraph"/>
        <w:numPr>
          <w:ilvl w:val="1"/>
          <w:numId w:val="20"/>
        </w:numPr>
        <w:spacing w:after="0" w:line="240" w:lineRule="auto"/>
        <w:rPr>
          <w:rFonts w:cs="Arial"/>
          <w:sz w:val="20"/>
          <w:szCs w:val="20"/>
        </w:rPr>
      </w:pPr>
      <w:r w:rsidRPr="00E808A1">
        <w:rPr>
          <w:rFonts w:cs="Arial"/>
          <w:sz w:val="20"/>
          <w:szCs w:val="20"/>
        </w:rPr>
        <w:t>Depending on the tumor line, this may take between 1-7 days. Take care to not disturb the cells until they have fully adhered to avoid cell loss.</w:t>
      </w:r>
    </w:p>
    <w:p w14:paraId="773A00B0" w14:textId="6CEEC0D1" w:rsidR="005A62CF" w:rsidRPr="00E808A1" w:rsidRDefault="005A62CF" w:rsidP="00E808A1">
      <w:pPr>
        <w:pStyle w:val="ListParagraph"/>
        <w:numPr>
          <w:ilvl w:val="0"/>
          <w:numId w:val="20"/>
        </w:numPr>
        <w:spacing w:after="0" w:line="240" w:lineRule="auto"/>
        <w:rPr>
          <w:rFonts w:cs="Arial"/>
          <w:sz w:val="20"/>
          <w:szCs w:val="20"/>
        </w:rPr>
      </w:pPr>
      <w:r w:rsidRPr="00E808A1">
        <w:rPr>
          <w:rFonts w:cs="Arial"/>
          <w:sz w:val="20"/>
          <w:szCs w:val="20"/>
        </w:rPr>
        <w:t>Once cells adhere to the plate, remove the debris from the plate by vigorously shaking the plate and then aspirating the media, debris, and non-adherent cells.</w:t>
      </w:r>
    </w:p>
    <w:p w14:paraId="07396A2F" w14:textId="1E67F655" w:rsidR="005A62CF" w:rsidRPr="00E808A1" w:rsidRDefault="005A62CF" w:rsidP="00E808A1">
      <w:pPr>
        <w:pStyle w:val="ListParagraph"/>
        <w:numPr>
          <w:ilvl w:val="1"/>
          <w:numId w:val="20"/>
        </w:numPr>
        <w:spacing w:after="0" w:line="240" w:lineRule="auto"/>
        <w:rPr>
          <w:rFonts w:cs="Arial"/>
          <w:sz w:val="20"/>
          <w:szCs w:val="20"/>
        </w:rPr>
      </w:pPr>
      <w:r w:rsidRPr="00E808A1">
        <w:rPr>
          <w:rFonts w:cs="Arial"/>
          <w:sz w:val="20"/>
          <w:szCs w:val="20"/>
        </w:rPr>
        <w:t xml:space="preserve"> To avoid dislodging cells, refrain from (i) beating the flasks against your hand and (ii) washing with additional media. A sterile Pasteur pipette can be used to remove any stubborn debris or tissue chunks.</w:t>
      </w:r>
    </w:p>
    <w:p w14:paraId="40AB457F" w14:textId="1561DDA5" w:rsidR="005A62CF" w:rsidRPr="00E808A1" w:rsidRDefault="005A62CF" w:rsidP="00E808A1">
      <w:pPr>
        <w:pStyle w:val="ListParagraph"/>
        <w:numPr>
          <w:ilvl w:val="0"/>
          <w:numId w:val="20"/>
        </w:numPr>
        <w:spacing w:after="0" w:line="240" w:lineRule="auto"/>
        <w:rPr>
          <w:rFonts w:cs="Arial"/>
          <w:sz w:val="20"/>
          <w:szCs w:val="20"/>
        </w:rPr>
      </w:pPr>
      <w:r w:rsidRPr="00E808A1">
        <w:rPr>
          <w:rFonts w:cs="Arial"/>
          <w:sz w:val="20"/>
          <w:szCs w:val="20"/>
        </w:rPr>
        <w:t>Replace media with 10% DMEM (FBS culture) or SCM (stem cell culture) once the cells become adherent.</w:t>
      </w:r>
    </w:p>
    <w:p w14:paraId="0595EA5D" w14:textId="77777777" w:rsidR="005A62CF" w:rsidRPr="00E808A1" w:rsidRDefault="005A62CF" w:rsidP="00E808A1">
      <w:pPr>
        <w:pStyle w:val="ListParagraph"/>
        <w:numPr>
          <w:ilvl w:val="0"/>
          <w:numId w:val="20"/>
        </w:numPr>
        <w:spacing w:after="0" w:line="240" w:lineRule="auto"/>
        <w:rPr>
          <w:rFonts w:cs="Arial"/>
          <w:sz w:val="20"/>
          <w:szCs w:val="20"/>
        </w:rPr>
      </w:pPr>
      <w:r w:rsidRPr="00E808A1">
        <w:rPr>
          <w:rFonts w:cs="Arial"/>
          <w:sz w:val="20"/>
          <w:szCs w:val="20"/>
        </w:rPr>
        <w:t>Monitor the cells and change media as necessary until they are approx. 80-90% confluent. At this point, they are ready for experimental use.</w:t>
      </w:r>
    </w:p>
    <w:p w14:paraId="634CA15D" w14:textId="6680B059" w:rsidR="005A62CF" w:rsidRPr="00E808A1" w:rsidRDefault="005A62CF" w:rsidP="00E808A1">
      <w:pPr>
        <w:pStyle w:val="ListParagraph"/>
        <w:numPr>
          <w:ilvl w:val="1"/>
          <w:numId w:val="20"/>
        </w:numPr>
        <w:spacing w:after="0" w:line="240" w:lineRule="auto"/>
        <w:rPr>
          <w:rFonts w:cs="Arial"/>
          <w:sz w:val="20"/>
          <w:szCs w:val="20"/>
        </w:rPr>
      </w:pPr>
      <w:r w:rsidRPr="00E808A1">
        <w:rPr>
          <w:rFonts w:cs="Arial"/>
          <w:sz w:val="20"/>
          <w:szCs w:val="20"/>
        </w:rPr>
        <w:t>Make sure that the cells are well fed. If the media turns yellow, they may not recover from the stress or they may change their response, making it difficult to reproduce experimental results.</w:t>
      </w:r>
    </w:p>
    <w:p w14:paraId="6DE61024" w14:textId="241E44BE" w:rsidR="000F6725" w:rsidRPr="00E808A1" w:rsidRDefault="005A62CF" w:rsidP="00E808A1">
      <w:pPr>
        <w:pStyle w:val="ListParagraph"/>
        <w:numPr>
          <w:ilvl w:val="1"/>
          <w:numId w:val="20"/>
        </w:numPr>
        <w:spacing w:after="0" w:line="240" w:lineRule="auto"/>
        <w:rPr>
          <w:rFonts w:cs="Arial"/>
          <w:sz w:val="20"/>
          <w:szCs w:val="20"/>
        </w:rPr>
      </w:pPr>
      <w:r w:rsidRPr="00E808A1">
        <w:rPr>
          <w:rFonts w:cs="Arial"/>
          <w:sz w:val="20"/>
          <w:szCs w:val="20"/>
        </w:rPr>
        <w:t xml:space="preserve">The Sarkaria lab routinely uses cultured cells for in vivo tumor initiation or in vitro experiments from the initial culture. </w:t>
      </w:r>
      <w:r w:rsidR="000F6725" w:rsidRPr="00E808A1">
        <w:rPr>
          <w:rFonts w:cs="Arial"/>
          <w:sz w:val="20"/>
          <w:szCs w:val="20"/>
        </w:rPr>
        <w:t>Use cells as soon as possible after receipt.  Cells should be maintained in culture for (preferably) &lt;14 days and no greater than 30 days.</w:t>
      </w:r>
    </w:p>
    <w:p w14:paraId="0DD753BD" w14:textId="262B360A" w:rsidR="005A62CF" w:rsidRPr="00E808A1" w:rsidRDefault="000F6725" w:rsidP="00E808A1">
      <w:pPr>
        <w:pStyle w:val="ListParagraph"/>
        <w:numPr>
          <w:ilvl w:val="1"/>
          <w:numId w:val="20"/>
        </w:numPr>
        <w:spacing w:after="0" w:line="240" w:lineRule="auto"/>
        <w:rPr>
          <w:rFonts w:cs="Arial"/>
          <w:sz w:val="20"/>
          <w:szCs w:val="20"/>
        </w:rPr>
      </w:pPr>
      <w:r w:rsidRPr="00E808A1">
        <w:rPr>
          <w:rFonts w:cs="Arial"/>
          <w:sz w:val="20"/>
          <w:szCs w:val="20"/>
        </w:rPr>
        <w:lastRenderedPageBreak/>
        <w:t>If expansion is required, split cells 1:2 and up to 1:5 using trypsin or TrypLE. Change media at least twice per week and many lines will only need to be passaged once per week (passage when ~80% confluent). We do not recommend long-term passaging as it may change cell behavior, render cells non-tumorigenic, and potentially cause genetic drift.</w:t>
      </w:r>
    </w:p>
    <w:p w14:paraId="6AE19460" w14:textId="48943C6A" w:rsidR="000F6725" w:rsidRPr="00E808A1" w:rsidRDefault="005A62CF" w:rsidP="00E808A1">
      <w:pPr>
        <w:pStyle w:val="ListParagraph"/>
        <w:numPr>
          <w:ilvl w:val="0"/>
          <w:numId w:val="20"/>
        </w:numPr>
        <w:spacing w:after="0" w:line="240" w:lineRule="auto"/>
        <w:rPr>
          <w:rFonts w:cs="Arial"/>
          <w:sz w:val="20"/>
          <w:szCs w:val="20"/>
        </w:rPr>
      </w:pPr>
      <w:r w:rsidRPr="00E808A1">
        <w:rPr>
          <w:rFonts w:cs="Arial"/>
          <w:sz w:val="20"/>
          <w:szCs w:val="20"/>
        </w:rPr>
        <w:t xml:space="preserve">When re-plating the cells for in vitro assays, it is not necessary to use coated vessels. For most lines, cells will grow in non-adherent spheres in </w:t>
      </w:r>
      <w:r w:rsidR="001D7EC0" w:rsidRPr="00E808A1">
        <w:rPr>
          <w:rFonts w:cs="Arial"/>
          <w:sz w:val="20"/>
          <w:szCs w:val="20"/>
        </w:rPr>
        <w:t>Stem Cell Media</w:t>
      </w:r>
      <w:r w:rsidRPr="00E808A1">
        <w:rPr>
          <w:rFonts w:cs="Arial"/>
          <w:sz w:val="20"/>
          <w:szCs w:val="20"/>
        </w:rPr>
        <w:t xml:space="preserve"> without a laminin coating. If adherent stem-like cells are warranted, the flask must first be coated with laminin</w:t>
      </w:r>
      <w:r w:rsidR="00C754AE" w:rsidRPr="00E808A1">
        <w:rPr>
          <w:rFonts w:cs="Arial"/>
          <w:sz w:val="20"/>
          <w:szCs w:val="20"/>
        </w:rPr>
        <w:t>.</w:t>
      </w:r>
    </w:p>
    <w:p w14:paraId="41997036" w14:textId="1ACCEFD8" w:rsidR="005A62CF" w:rsidRPr="00E808A1" w:rsidRDefault="000F6725" w:rsidP="00E808A1">
      <w:pPr>
        <w:pStyle w:val="ListParagraph"/>
        <w:numPr>
          <w:ilvl w:val="1"/>
          <w:numId w:val="20"/>
        </w:numPr>
        <w:spacing w:after="0" w:line="240" w:lineRule="auto"/>
        <w:rPr>
          <w:rFonts w:cs="Arial"/>
          <w:sz w:val="20"/>
          <w:szCs w:val="20"/>
        </w:rPr>
      </w:pPr>
      <w:r w:rsidRPr="00E808A1">
        <w:rPr>
          <w:rFonts w:cs="Arial"/>
          <w:sz w:val="20"/>
          <w:szCs w:val="20"/>
          <w:u w:val="single"/>
        </w:rPr>
        <w:t>Coating instructions</w:t>
      </w:r>
      <w:r w:rsidRPr="00E808A1">
        <w:rPr>
          <w:rFonts w:cs="Arial"/>
          <w:sz w:val="20"/>
          <w:szCs w:val="20"/>
        </w:rPr>
        <w:t>: Thaw Laminin at room temperature, add 1ul per cm2 of Laminin in media (150ul laminin in 4 mL for each 150 mm flask of stem cell media, or 75ul in a T75 flask to be coated.) Allow the plates to sit at room temperature on a level surface for 1-2 hours prior to use to allow the Laminin to properly adhere to the plates.</w:t>
      </w:r>
    </w:p>
    <w:sectPr w:rsidR="005A62CF" w:rsidRPr="00E808A1" w:rsidSect="00C03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435A6"/>
    <w:multiLevelType w:val="hybridMultilevel"/>
    <w:tmpl w:val="A826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7547D"/>
    <w:multiLevelType w:val="hybridMultilevel"/>
    <w:tmpl w:val="BD3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C795A"/>
    <w:multiLevelType w:val="hybridMultilevel"/>
    <w:tmpl w:val="A3D49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113F0"/>
    <w:multiLevelType w:val="hybridMultilevel"/>
    <w:tmpl w:val="42B2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96C02"/>
    <w:multiLevelType w:val="hybridMultilevel"/>
    <w:tmpl w:val="7FEC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C4910"/>
    <w:multiLevelType w:val="hybridMultilevel"/>
    <w:tmpl w:val="B950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E704E"/>
    <w:multiLevelType w:val="hybridMultilevel"/>
    <w:tmpl w:val="D60AC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D562C"/>
    <w:multiLevelType w:val="hybridMultilevel"/>
    <w:tmpl w:val="16B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92C9D"/>
    <w:multiLevelType w:val="hybridMultilevel"/>
    <w:tmpl w:val="A044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E53A8"/>
    <w:multiLevelType w:val="hybridMultilevel"/>
    <w:tmpl w:val="23F2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47F1E"/>
    <w:multiLevelType w:val="hybridMultilevel"/>
    <w:tmpl w:val="CFDA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B3785F"/>
    <w:multiLevelType w:val="hybridMultilevel"/>
    <w:tmpl w:val="5C64F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060D6"/>
    <w:multiLevelType w:val="hybridMultilevel"/>
    <w:tmpl w:val="D062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5F6FC5"/>
    <w:multiLevelType w:val="hybridMultilevel"/>
    <w:tmpl w:val="4A50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B2B2D"/>
    <w:multiLevelType w:val="hybridMultilevel"/>
    <w:tmpl w:val="4E58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B402A"/>
    <w:multiLevelType w:val="hybridMultilevel"/>
    <w:tmpl w:val="DC36C102"/>
    <w:lvl w:ilvl="0" w:tplc="2EC8130A">
      <w:start w:val="1"/>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124514">
    <w:abstractNumId w:val="9"/>
  </w:num>
  <w:num w:numId="2" w16cid:durableId="682517045">
    <w:abstractNumId w:val="12"/>
  </w:num>
  <w:num w:numId="3" w16cid:durableId="356129040">
    <w:abstractNumId w:val="11"/>
  </w:num>
  <w:num w:numId="4" w16cid:durableId="206794761">
    <w:abstractNumId w:val="2"/>
  </w:num>
  <w:num w:numId="5" w16cid:durableId="1202669139">
    <w:abstractNumId w:val="1"/>
  </w:num>
  <w:num w:numId="6" w16cid:durableId="921910801">
    <w:abstractNumId w:val="4"/>
  </w:num>
  <w:num w:numId="7" w16cid:durableId="253056954">
    <w:abstractNumId w:val="5"/>
  </w:num>
  <w:num w:numId="8" w16cid:durableId="48767772">
    <w:abstractNumId w:val="6"/>
  </w:num>
  <w:num w:numId="9" w16cid:durableId="1954943008">
    <w:abstractNumId w:val="14"/>
  </w:num>
  <w:num w:numId="10" w16cid:durableId="365984969">
    <w:abstractNumId w:val="0"/>
  </w:num>
  <w:num w:numId="11" w16cid:durableId="1663464717">
    <w:abstractNumId w:val="8"/>
  </w:num>
  <w:num w:numId="12" w16cid:durableId="683019614">
    <w:abstractNumId w:val="15"/>
  </w:num>
  <w:num w:numId="13" w16cid:durableId="1356079898">
    <w:abstractNumId w:val="7"/>
  </w:num>
  <w:num w:numId="14" w16cid:durableId="707491576">
    <w:abstractNumId w:val="3"/>
  </w:num>
  <w:num w:numId="15" w16cid:durableId="89350888">
    <w:abstractNumId w:val="10"/>
  </w:num>
  <w:num w:numId="16" w16cid:durableId="625504704">
    <w:abstractNumId w:val="12"/>
  </w:num>
  <w:num w:numId="17" w16cid:durableId="884833927">
    <w:abstractNumId w:val="4"/>
  </w:num>
  <w:num w:numId="18" w16cid:durableId="1643119525">
    <w:abstractNumId w:val="2"/>
  </w:num>
  <w:num w:numId="19" w16cid:durableId="1949046130">
    <w:abstractNumId w:val="5"/>
  </w:num>
  <w:num w:numId="20" w16cid:durableId="1377659759">
    <w:abstractNumId w:val="6"/>
  </w:num>
  <w:num w:numId="21" w16cid:durableId="1158956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94"/>
    <w:rsid w:val="000029DA"/>
    <w:rsid w:val="000055BF"/>
    <w:rsid w:val="00031030"/>
    <w:rsid w:val="00061612"/>
    <w:rsid w:val="000F6725"/>
    <w:rsid w:val="001174F8"/>
    <w:rsid w:val="00157F74"/>
    <w:rsid w:val="001D7EC0"/>
    <w:rsid w:val="001F79CA"/>
    <w:rsid w:val="00272504"/>
    <w:rsid w:val="0028353D"/>
    <w:rsid w:val="00284FFC"/>
    <w:rsid w:val="002F1B33"/>
    <w:rsid w:val="00314CD4"/>
    <w:rsid w:val="003337B4"/>
    <w:rsid w:val="0035615B"/>
    <w:rsid w:val="0036767E"/>
    <w:rsid w:val="00376D8D"/>
    <w:rsid w:val="003E7603"/>
    <w:rsid w:val="004056A3"/>
    <w:rsid w:val="004258B3"/>
    <w:rsid w:val="004356F3"/>
    <w:rsid w:val="004377B4"/>
    <w:rsid w:val="0044323E"/>
    <w:rsid w:val="00450CC6"/>
    <w:rsid w:val="00472D78"/>
    <w:rsid w:val="004948D3"/>
    <w:rsid w:val="004A1EAC"/>
    <w:rsid w:val="004B0ACA"/>
    <w:rsid w:val="004C006C"/>
    <w:rsid w:val="005027FD"/>
    <w:rsid w:val="005178ED"/>
    <w:rsid w:val="005358CE"/>
    <w:rsid w:val="005435AA"/>
    <w:rsid w:val="00583531"/>
    <w:rsid w:val="00590290"/>
    <w:rsid w:val="005A62CF"/>
    <w:rsid w:val="00601486"/>
    <w:rsid w:val="00602987"/>
    <w:rsid w:val="0062436B"/>
    <w:rsid w:val="00657B1E"/>
    <w:rsid w:val="006827C0"/>
    <w:rsid w:val="0068340C"/>
    <w:rsid w:val="00687A1A"/>
    <w:rsid w:val="006B7B93"/>
    <w:rsid w:val="006C7AB2"/>
    <w:rsid w:val="00705DF6"/>
    <w:rsid w:val="00707ED2"/>
    <w:rsid w:val="00776E7B"/>
    <w:rsid w:val="007A1DC0"/>
    <w:rsid w:val="007F1F70"/>
    <w:rsid w:val="00802A91"/>
    <w:rsid w:val="00812C60"/>
    <w:rsid w:val="00830CC4"/>
    <w:rsid w:val="008E5FBD"/>
    <w:rsid w:val="009026CF"/>
    <w:rsid w:val="009059B3"/>
    <w:rsid w:val="00951F60"/>
    <w:rsid w:val="0098088D"/>
    <w:rsid w:val="00996719"/>
    <w:rsid w:val="009B775A"/>
    <w:rsid w:val="009D7C03"/>
    <w:rsid w:val="00A33507"/>
    <w:rsid w:val="00A56FF2"/>
    <w:rsid w:val="00A64620"/>
    <w:rsid w:val="00A81EB0"/>
    <w:rsid w:val="00A85834"/>
    <w:rsid w:val="00AA07D8"/>
    <w:rsid w:val="00AA2724"/>
    <w:rsid w:val="00AC7773"/>
    <w:rsid w:val="00AD7B41"/>
    <w:rsid w:val="00B24CDC"/>
    <w:rsid w:val="00B26FD3"/>
    <w:rsid w:val="00B46CC2"/>
    <w:rsid w:val="00B8122E"/>
    <w:rsid w:val="00BF2CF8"/>
    <w:rsid w:val="00C02A77"/>
    <w:rsid w:val="00C03E94"/>
    <w:rsid w:val="00C754AE"/>
    <w:rsid w:val="00C86A98"/>
    <w:rsid w:val="00C93B23"/>
    <w:rsid w:val="00CA132D"/>
    <w:rsid w:val="00CD1E3C"/>
    <w:rsid w:val="00D143F4"/>
    <w:rsid w:val="00D5675C"/>
    <w:rsid w:val="00D8279B"/>
    <w:rsid w:val="00DA72A6"/>
    <w:rsid w:val="00E351ED"/>
    <w:rsid w:val="00E808A1"/>
    <w:rsid w:val="00EA258D"/>
    <w:rsid w:val="00EF3869"/>
    <w:rsid w:val="00F05427"/>
    <w:rsid w:val="00F432A4"/>
    <w:rsid w:val="00F72B6A"/>
    <w:rsid w:val="00F73C52"/>
    <w:rsid w:val="00F85B43"/>
    <w:rsid w:val="00F87EEF"/>
    <w:rsid w:val="00F9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93C1"/>
  <w15:docId w15:val="{6E98D859-F448-40E4-8538-4F20125E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 w:type="character" w:styleId="Hyperlink">
    <w:name w:val="Hyperlink"/>
    <w:basedOn w:val="DefaultParagraphFont"/>
    <w:uiPriority w:val="99"/>
    <w:unhideWhenUsed/>
    <w:rsid w:val="00812C60"/>
    <w:rPr>
      <w:color w:val="0563C1" w:themeColor="hyperlink"/>
      <w:u w:val="single"/>
    </w:rPr>
  </w:style>
  <w:style w:type="character" w:styleId="UnresolvedMention">
    <w:name w:val="Unresolved Mention"/>
    <w:basedOn w:val="DefaultParagraphFont"/>
    <w:uiPriority w:val="99"/>
    <w:semiHidden/>
    <w:unhideWhenUsed/>
    <w:rsid w:val="00812C60"/>
    <w:rPr>
      <w:color w:val="605E5C"/>
      <w:shd w:val="clear" w:color="auto" w:fill="E1DFDD"/>
    </w:rPr>
  </w:style>
  <w:style w:type="character" w:styleId="FollowedHyperlink">
    <w:name w:val="FollowedHyperlink"/>
    <w:basedOn w:val="DefaultParagraphFont"/>
    <w:uiPriority w:val="99"/>
    <w:semiHidden/>
    <w:unhideWhenUsed/>
    <w:rsid w:val="00812C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yo.edu/research/documents/sarkaria-gbm-pdx-lines/doc-205033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yo.edu/research/labs/translational-neuro-oncology/mayo-clinic-brain-tumor-patient-derived-xenograft-national-resource/over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D564-EB1A-454E-81D0-950B9C8B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Burgenske, Danielle M. (Dani), Ph.D.</dc:creator>
  <cp:lastModifiedBy>Gangloff, Jennifer M.</cp:lastModifiedBy>
  <cp:revision>6</cp:revision>
  <dcterms:created xsi:type="dcterms:W3CDTF">2023-02-06T18:23:00Z</dcterms:created>
  <dcterms:modified xsi:type="dcterms:W3CDTF">2023-02-06T19:17:00Z</dcterms:modified>
</cp:coreProperties>
</file>